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289A" w14:textId="77777777" w:rsidR="00D36ACE" w:rsidRDefault="00D36ACE" w:rsidP="00410FB0">
      <w:pPr>
        <w:jc w:val="center"/>
      </w:pPr>
    </w:p>
    <w:p w14:paraId="4481764F" w14:textId="77777777" w:rsidR="00D36ACE" w:rsidRDefault="00D36ACE" w:rsidP="00410FB0">
      <w:pPr>
        <w:jc w:val="center"/>
      </w:pPr>
    </w:p>
    <w:tbl>
      <w:tblPr>
        <w:tblStyle w:val="a9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D36ACE" w:rsidRPr="00B24DFF" w14:paraId="0ED5985C" w14:textId="77777777" w:rsidTr="00D36ACE">
        <w:tc>
          <w:tcPr>
            <w:tcW w:w="4785" w:type="dxa"/>
          </w:tcPr>
          <w:p w14:paraId="35A490C9" w14:textId="77777777" w:rsidR="00D36ACE" w:rsidRDefault="00D36ACE" w:rsidP="00D36ACE"/>
        </w:tc>
        <w:tc>
          <w:tcPr>
            <w:tcW w:w="4786" w:type="dxa"/>
          </w:tcPr>
          <w:p w14:paraId="055351EE" w14:textId="77777777" w:rsidR="00293895" w:rsidRPr="00293895" w:rsidRDefault="00293895" w:rsidP="00293895">
            <w:pPr>
              <w:rPr>
                <w:sz w:val="28"/>
                <w:lang w:val="en-US"/>
              </w:rPr>
            </w:pPr>
            <w:r w:rsidRPr="00293895">
              <w:rPr>
                <w:sz w:val="28"/>
                <w:lang w:val="en-US"/>
              </w:rPr>
              <w:t>APPROVED:</w:t>
            </w:r>
          </w:p>
          <w:p w14:paraId="687AC1F1" w14:textId="0A938BA5" w:rsidR="00293895" w:rsidRPr="00293895" w:rsidRDefault="00B24DFF" w:rsidP="00293895">
            <w:pPr>
              <w:rPr>
                <w:sz w:val="28"/>
                <w:lang w:val="en-US"/>
              </w:rPr>
            </w:pPr>
            <w:r w:rsidRPr="00C359D5">
              <w:rPr>
                <w:sz w:val="28"/>
                <w:szCs w:val="28"/>
                <w:lang w:val="en-US"/>
              </w:rPr>
              <w:t>Director</w:t>
            </w:r>
            <w:r w:rsidRPr="00293895">
              <w:rPr>
                <w:sz w:val="28"/>
                <w:lang w:val="en-US"/>
              </w:rPr>
              <w:t xml:space="preserve"> </w:t>
            </w:r>
            <w:r w:rsidR="00550BA2">
              <w:rPr>
                <w:sz w:val="28"/>
                <w:lang w:val="en-US"/>
              </w:rPr>
              <w:t xml:space="preserve">of </w:t>
            </w:r>
            <w:r w:rsidR="00550BA2" w:rsidRPr="00560977">
              <w:rPr>
                <w:sz w:val="28"/>
                <w:szCs w:val="28"/>
                <w:lang w:val="en-US"/>
              </w:rPr>
              <w:t>Rosatom</w:t>
            </w:r>
            <w:r w:rsidR="00CB127A">
              <w:rPr>
                <w:sz w:val="28"/>
                <w:szCs w:val="28"/>
                <w:lang w:val="en-US"/>
              </w:rPr>
              <w:t xml:space="preserve"> Middle East and North Africa FZ LLC</w:t>
            </w:r>
          </w:p>
          <w:p w14:paraId="486F3A61" w14:textId="09D332B5" w:rsidR="00293895" w:rsidRPr="00293895" w:rsidRDefault="00293895" w:rsidP="00293895">
            <w:pPr>
              <w:rPr>
                <w:sz w:val="28"/>
                <w:lang w:val="en-US"/>
              </w:rPr>
            </w:pPr>
          </w:p>
          <w:p w14:paraId="6E1F706E" w14:textId="0F671392" w:rsidR="00293895" w:rsidRPr="00B24DFF" w:rsidRDefault="00293895" w:rsidP="00293895">
            <w:pPr>
              <w:rPr>
                <w:sz w:val="28"/>
                <w:lang w:val="en-US"/>
              </w:rPr>
            </w:pPr>
            <w:r w:rsidRPr="00B24DFF">
              <w:rPr>
                <w:sz w:val="28"/>
                <w:lang w:val="en-US"/>
              </w:rPr>
              <w:t>_______________ /</w:t>
            </w:r>
            <w:r w:rsidR="00B24DFF" w:rsidRPr="00C359D5">
              <w:rPr>
                <w:sz w:val="28"/>
                <w:szCs w:val="28"/>
                <w:lang w:val="en-US"/>
              </w:rPr>
              <w:t xml:space="preserve"> </w:t>
            </w:r>
            <w:r w:rsidR="00CB127A">
              <w:rPr>
                <w:sz w:val="28"/>
                <w:szCs w:val="28"/>
                <w:lang w:val="en-US"/>
              </w:rPr>
              <w:t>A.</w:t>
            </w:r>
            <w:r w:rsidR="00A255F5">
              <w:rPr>
                <w:sz w:val="28"/>
                <w:szCs w:val="28"/>
              </w:rPr>
              <w:t xml:space="preserve"> </w:t>
            </w:r>
            <w:r w:rsidR="00CB127A">
              <w:rPr>
                <w:sz w:val="28"/>
                <w:szCs w:val="28"/>
                <w:lang w:val="en-US"/>
              </w:rPr>
              <w:t xml:space="preserve">Voronkov </w:t>
            </w:r>
            <w:r w:rsidRPr="00B24DFF">
              <w:rPr>
                <w:sz w:val="28"/>
                <w:lang w:val="en-US"/>
              </w:rPr>
              <w:t>/</w:t>
            </w:r>
          </w:p>
          <w:p w14:paraId="472919F5" w14:textId="18BDA87C" w:rsidR="00D36ACE" w:rsidRPr="001C2FBB" w:rsidRDefault="00293895" w:rsidP="00B24DFF">
            <w:pPr>
              <w:rPr>
                <w:highlight w:val="lightGray"/>
              </w:rPr>
            </w:pPr>
            <w:r w:rsidRPr="00B24DFF">
              <w:rPr>
                <w:sz w:val="28"/>
                <w:lang w:val="en-US"/>
              </w:rPr>
              <w:t>«</w:t>
            </w:r>
            <w:r w:rsidR="006968DF">
              <w:rPr>
                <w:sz w:val="28"/>
                <w:lang w:val="en-US"/>
              </w:rPr>
              <w:t xml:space="preserve"> 02 </w:t>
            </w:r>
            <w:r w:rsidRPr="00B24DFF">
              <w:rPr>
                <w:sz w:val="28"/>
                <w:lang w:val="en-US"/>
              </w:rPr>
              <w:t xml:space="preserve">» </w:t>
            </w:r>
            <w:r w:rsidR="006968DF">
              <w:rPr>
                <w:sz w:val="28"/>
                <w:lang w:val="en-US"/>
              </w:rPr>
              <w:t>November</w:t>
            </w:r>
            <w:r w:rsidRPr="00B24DFF">
              <w:rPr>
                <w:sz w:val="28"/>
                <w:lang w:val="en-US"/>
              </w:rPr>
              <w:t xml:space="preserve"> 20</w:t>
            </w:r>
            <w:r w:rsidR="001C2FBB">
              <w:rPr>
                <w:sz w:val="28"/>
              </w:rPr>
              <w:t>20</w:t>
            </w:r>
          </w:p>
        </w:tc>
      </w:tr>
    </w:tbl>
    <w:p w14:paraId="3342B86C" w14:textId="77777777" w:rsidR="00D36ACE" w:rsidRPr="00B24DFF" w:rsidRDefault="00D36ACE" w:rsidP="00410FB0">
      <w:pPr>
        <w:jc w:val="center"/>
        <w:rPr>
          <w:lang w:val="en-US"/>
        </w:rPr>
      </w:pPr>
    </w:p>
    <w:p w14:paraId="21A9C726" w14:textId="77777777" w:rsidR="00410FB0" w:rsidRPr="00B24DFF" w:rsidRDefault="00410FB0" w:rsidP="00410FB0">
      <w:pPr>
        <w:jc w:val="center"/>
        <w:rPr>
          <w:lang w:val="en-US"/>
        </w:rPr>
      </w:pPr>
    </w:p>
    <w:p w14:paraId="0949D453" w14:textId="77777777" w:rsidR="00410FB0" w:rsidRPr="00B24DFF" w:rsidRDefault="00410FB0" w:rsidP="00410FB0">
      <w:pPr>
        <w:jc w:val="center"/>
        <w:rPr>
          <w:lang w:val="en-US"/>
        </w:rPr>
      </w:pPr>
    </w:p>
    <w:p w14:paraId="70632D9F" w14:textId="77777777" w:rsidR="00410FB0" w:rsidRPr="00B24DFF" w:rsidRDefault="00410FB0" w:rsidP="00410FB0">
      <w:pPr>
        <w:jc w:val="center"/>
        <w:rPr>
          <w:lang w:val="en-US"/>
        </w:rPr>
      </w:pPr>
    </w:p>
    <w:p w14:paraId="27DA12D1" w14:textId="77777777" w:rsidR="00410FB0" w:rsidRPr="00B24DFF" w:rsidRDefault="00410FB0" w:rsidP="00410FB0">
      <w:pPr>
        <w:jc w:val="center"/>
        <w:rPr>
          <w:lang w:val="en-US"/>
        </w:rPr>
      </w:pPr>
    </w:p>
    <w:p w14:paraId="74109EAF" w14:textId="77777777" w:rsidR="00410FB0" w:rsidRPr="00B24DFF" w:rsidRDefault="00410FB0" w:rsidP="00410FB0">
      <w:pPr>
        <w:jc w:val="center"/>
        <w:rPr>
          <w:lang w:val="en-US"/>
        </w:rPr>
      </w:pPr>
    </w:p>
    <w:p w14:paraId="3CA499B5" w14:textId="77777777" w:rsidR="00410FB0" w:rsidRPr="00B24DFF" w:rsidRDefault="00410FB0" w:rsidP="00410FB0">
      <w:pPr>
        <w:jc w:val="center"/>
        <w:rPr>
          <w:lang w:val="en-US"/>
        </w:rPr>
      </w:pPr>
    </w:p>
    <w:p w14:paraId="11A99198" w14:textId="77777777" w:rsidR="00410FB0" w:rsidRPr="00B24DFF" w:rsidRDefault="00410FB0" w:rsidP="00410FB0">
      <w:pPr>
        <w:jc w:val="center"/>
        <w:rPr>
          <w:lang w:val="en-US"/>
        </w:rPr>
      </w:pPr>
    </w:p>
    <w:p w14:paraId="314329B8" w14:textId="77777777" w:rsidR="00410FB0" w:rsidRPr="00B24DFF" w:rsidRDefault="00410FB0" w:rsidP="00410FB0">
      <w:pPr>
        <w:jc w:val="center"/>
        <w:rPr>
          <w:lang w:val="en-US"/>
        </w:rPr>
      </w:pPr>
    </w:p>
    <w:p w14:paraId="78A445D7" w14:textId="77777777" w:rsidR="00410FB0" w:rsidRPr="00B24DFF" w:rsidRDefault="00410FB0" w:rsidP="00410FB0">
      <w:pPr>
        <w:jc w:val="center"/>
        <w:rPr>
          <w:lang w:val="en-US"/>
        </w:rPr>
      </w:pPr>
    </w:p>
    <w:p w14:paraId="51184CAE" w14:textId="77777777" w:rsidR="00410FB0" w:rsidRPr="00B24DFF" w:rsidRDefault="00410FB0" w:rsidP="00410FB0">
      <w:pPr>
        <w:jc w:val="center"/>
        <w:rPr>
          <w:sz w:val="28"/>
          <w:szCs w:val="22"/>
          <w:lang w:val="en-US"/>
        </w:rPr>
      </w:pPr>
    </w:p>
    <w:p w14:paraId="2C42878E" w14:textId="77777777" w:rsidR="00293895" w:rsidRPr="00B24DFF" w:rsidRDefault="00293895" w:rsidP="00293895">
      <w:pPr>
        <w:jc w:val="center"/>
        <w:rPr>
          <w:b/>
          <w:sz w:val="28"/>
          <w:szCs w:val="22"/>
          <w:lang w:val="en-US"/>
        </w:rPr>
      </w:pPr>
    </w:p>
    <w:p w14:paraId="0F570BFC" w14:textId="77777777" w:rsidR="00293895" w:rsidRPr="00293895" w:rsidRDefault="00130C89" w:rsidP="00293895">
      <w:pPr>
        <w:jc w:val="center"/>
        <w:rPr>
          <w:b/>
          <w:sz w:val="28"/>
          <w:szCs w:val="22"/>
          <w:lang w:val="en-US"/>
        </w:rPr>
      </w:pPr>
      <w:r>
        <w:rPr>
          <w:b/>
          <w:sz w:val="28"/>
          <w:szCs w:val="22"/>
          <w:lang w:val="en-US"/>
        </w:rPr>
        <w:t>Terms of Reference</w:t>
      </w:r>
      <w:r w:rsidR="00293895">
        <w:rPr>
          <w:b/>
          <w:sz w:val="28"/>
          <w:szCs w:val="22"/>
          <w:lang w:val="en-US"/>
        </w:rPr>
        <w:t xml:space="preserve"> </w:t>
      </w:r>
    </w:p>
    <w:p w14:paraId="19737B45" w14:textId="77777777" w:rsidR="00410FB0" w:rsidRPr="000E0255" w:rsidRDefault="00B24DFF" w:rsidP="00293895">
      <w:pPr>
        <w:jc w:val="center"/>
        <w:rPr>
          <w:sz w:val="28"/>
          <w:szCs w:val="22"/>
          <w:lang w:val="en-US"/>
        </w:rPr>
      </w:pPr>
      <w:r w:rsidRPr="00830365">
        <w:rPr>
          <w:sz w:val="28"/>
          <w:szCs w:val="28"/>
          <w:lang w:val="en"/>
        </w:rPr>
        <w:t xml:space="preserve">for lease of non-residential space for office in </w:t>
      </w:r>
      <w:r w:rsidR="00CB127A">
        <w:rPr>
          <w:sz w:val="28"/>
          <w:szCs w:val="28"/>
          <w:lang w:val="en"/>
        </w:rPr>
        <w:t>Dubai</w:t>
      </w:r>
      <w:r w:rsidRPr="00830365">
        <w:rPr>
          <w:sz w:val="28"/>
          <w:szCs w:val="28"/>
          <w:lang w:val="en"/>
        </w:rPr>
        <w:t xml:space="preserve"> (</w:t>
      </w:r>
      <w:r w:rsidR="00CB127A">
        <w:rPr>
          <w:sz w:val="28"/>
          <w:szCs w:val="28"/>
          <w:lang w:val="en"/>
        </w:rPr>
        <w:t>UAE</w:t>
      </w:r>
      <w:r w:rsidRPr="00830365">
        <w:rPr>
          <w:sz w:val="28"/>
          <w:szCs w:val="28"/>
          <w:lang w:val="en"/>
        </w:rPr>
        <w:t>)</w:t>
      </w:r>
    </w:p>
    <w:p w14:paraId="7E4CCCCC" w14:textId="77777777" w:rsidR="00410FB0" w:rsidRPr="00293895" w:rsidRDefault="00410FB0" w:rsidP="00410FB0">
      <w:pPr>
        <w:jc w:val="center"/>
        <w:rPr>
          <w:color w:val="000000"/>
          <w:sz w:val="22"/>
          <w:szCs w:val="22"/>
          <w:lang w:val="en-US"/>
        </w:rPr>
      </w:pPr>
    </w:p>
    <w:p w14:paraId="635999EE" w14:textId="77777777"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14:paraId="7F7327FB" w14:textId="77777777"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14:paraId="7FD1D74B" w14:textId="77777777"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14:paraId="303D560D" w14:textId="77777777"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14:paraId="3C1B09AA" w14:textId="77777777" w:rsidR="00410FB0" w:rsidRPr="00293895" w:rsidRDefault="00410FB0" w:rsidP="00410FB0">
      <w:pPr>
        <w:jc w:val="center"/>
        <w:rPr>
          <w:color w:val="000000"/>
          <w:sz w:val="22"/>
          <w:szCs w:val="22"/>
          <w:lang w:val="en-US"/>
        </w:rPr>
      </w:pPr>
    </w:p>
    <w:p w14:paraId="744E8989" w14:textId="77777777" w:rsidR="00410FB0" w:rsidRPr="00293895" w:rsidRDefault="00410FB0" w:rsidP="00410FB0">
      <w:pPr>
        <w:jc w:val="center"/>
        <w:rPr>
          <w:color w:val="000000"/>
          <w:sz w:val="22"/>
          <w:szCs w:val="22"/>
          <w:lang w:val="en-US"/>
        </w:rPr>
      </w:pPr>
    </w:p>
    <w:p w14:paraId="03FF3141" w14:textId="77777777" w:rsidR="00410FB0" w:rsidRPr="00293895" w:rsidRDefault="00410FB0" w:rsidP="00410FB0">
      <w:pPr>
        <w:rPr>
          <w:sz w:val="28"/>
          <w:lang w:val="en-US"/>
        </w:rPr>
      </w:pPr>
    </w:p>
    <w:p w14:paraId="70112E0D" w14:textId="77777777" w:rsidR="001D6860" w:rsidRPr="00293895" w:rsidRDefault="001D6860" w:rsidP="00410FB0">
      <w:pPr>
        <w:rPr>
          <w:sz w:val="28"/>
          <w:lang w:val="en-US"/>
        </w:rPr>
      </w:pPr>
    </w:p>
    <w:p w14:paraId="5E20A5B4" w14:textId="77777777" w:rsidR="001D6860" w:rsidRPr="00293895" w:rsidRDefault="001D6860" w:rsidP="00410FB0">
      <w:pPr>
        <w:rPr>
          <w:sz w:val="28"/>
          <w:lang w:val="en-US"/>
        </w:rPr>
      </w:pPr>
    </w:p>
    <w:p w14:paraId="2581C355" w14:textId="77777777" w:rsidR="001D6860" w:rsidRPr="00293895" w:rsidRDefault="001D6860" w:rsidP="00410FB0">
      <w:pPr>
        <w:rPr>
          <w:sz w:val="28"/>
          <w:lang w:val="en-US"/>
        </w:rPr>
      </w:pPr>
    </w:p>
    <w:p w14:paraId="7E2F5EA7" w14:textId="77777777" w:rsidR="001D6860" w:rsidRPr="00293895" w:rsidRDefault="001D6860" w:rsidP="00410FB0">
      <w:pPr>
        <w:rPr>
          <w:sz w:val="28"/>
          <w:lang w:val="en-US"/>
        </w:rPr>
      </w:pPr>
    </w:p>
    <w:p w14:paraId="7A4F3782" w14:textId="77777777" w:rsidR="001D6860" w:rsidRPr="00293895" w:rsidRDefault="001D6860" w:rsidP="00410FB0">
      <w:pPr>
        <w:rPr>
          <w:sz w:val="28"/>
          <w:lang w:val="en-US"/>
        </w:rPr>
      </w:pPr>
    </w:p>
    <w:p w14:paraId="4C116665" w14:textId="77777777" w:rsidR="001D6860" w:rsidRPr="00293895" w:rsidRDefault="001D6860" w:rsidP="00410FB0">
      <w:pPr>
        <w:rPr>
          <w:sz w:val="28"/>
          <w:lang w:val="en-US"/>
        </w:rPr>
      </w:pPr>
    </w:p>
    <w:p w14:paraId="52920762" w14:textId="77777777" w:rsidR="001D6860" w:rsidRPr="00293895" w:rsidRDefault="001D6860" w:rsidP="00410FB0">
      <w:pPr>
        <w:rPr>
          <w:sz w:val="28"/>
          <w:lang w:val="en-US"/>
        </w:rPr>
      </w:pPr>
    </w:p>
    <w:p w14:paraId="47321A82" w14:textId="77777777" w:rsidR="001D6860" w:rsidRPr="00293895" w:rsidRDefault="001D6860" w:rsidP="00410FB0">
      <w:pPr>
        <w:rPr>
          <w:sz w:val="28"/>
          <w:lang w:val="en-US"/>
        </w:rPr>
      </w:pPr>
    </w:p>
    <w:p w14:paraId="682FDA3F" w14:textId="5FBDA3FB" w:rsidR="001D6860" w:rsidRDefault="001D6860" w:rsidP="00410FB0">
      <w:pPr>
        <w:rPr>
          <w:color w:val="000000"/>
          <w:sz w:val="22"/>
          <w:szCs w:val="22"/>
          <w:lang w:val="en-US"/>
        </w:rPr>
      </w:pPr>
    </w:p>
    <w:p w14:paraId="0948BAD7" w14:textId="463477BD" w:rsidR="00B12E1E" w:rsidRDefault="00B12E1E" w:rsidP="00410FB0">
      <w:pPr>
        <w:rPr>
          <w:color w:val="000000"/>
          <w:sz w:val="22"/>
          <w:szCs w:val="22"/>
          <w:lang w:val="en-US"/>
        </w:rPr>
      </w:pPr>
    </w:p>
    <w:p w14:paraId="65E258E3" w14:textId="3778E464" w:rsidR="00B12E1E" w:rsidRDefault="00B12E1E" w:rsidP="00410FB0">
      <w:pPr>
        <w:rPr>
          <w:color w:val="000000"/>
          <w:sz w:val="22"/>
          <w:szCs w:val="22"/>
          <w:lang w:val="en-US"/>
        </w:rPr>
      </w:pPr>
    </w:p>
    <w:p w14:paraId="33DEA7B2" w14:textId="7FD4298F" w:rsidR="00B12E1E" w:rsidRDefault="00B12E1E" w:rsidP="00410FB0">
      <w:pPr>
        <w:rPr>
          <w:color w:val="000000"/>
          <w:sz w:val="22"/>
          <w:szCs w:val="22"/>
          <w:lang w:val="en-US"/>
        </w:rPr>
      </w:pPr>
    </w:p>
    <w:p w14:paraId="094B413F" w14:textId="2712CFC0" w:rsidR="00B12E1E" w:rsidRPr="00286BE4" w:rsidRDefault="00B12E1E" w:rsidP="00410FB0">
      <w:pPr>
        <w:rPr>
          <w:color w:val="000000"/>
          <w:sz w:val="22"/>
          <w:szCs w:val="22"/>
          <w:lang w:val="en-US"/>
        </w:rPr>
      </w:pPr>
    </w:p>
    <w:p w14:paraId="17B8C5A1" w14:textId="268272E7" w:rsidR="00B12E1E" w:rsidRDefault="00B12E1E" w:rsidP="00410FB0">
      <w:pPr>
        <w:rPr>
          <w:color w:val="000000"/>
          <w:sz w:val="22"/>
          <w:szCs w:val="22"/>
          <w:lang w:val="en-US"/>
        </w:rPr>
      </w:pPr>
    </w:p>
    <w:p w14:paraId="25ADD82A" w14:textId="77777777" w:rsidR="00B12E1E" w:rsidRPr="00293895" w:rsidRDefault="00B12E1E" w:rsidP="00410FB0">
      <w:pPr>
        <w:rPr>
          <w:color w:val="000000"/>
          <w:sz w:val="22"/>
          <w:szCs w:val="22"/>
          <w:lang w:val="en-US"/>
        </w:rPr>
      </w:pPr>
    </w:p>
    <w:p w14:paraId="0ED487BE" w14:textId="77777777" w:rsidR="00410FB0" w:rsidRPr="00293895" w:rsidRDefault="00410FB0" w:rsidP="00410FB0">
      <w:pPr>
        <w:rPr>
          <w:color w:val="000000"/>
          <w:sz w:val="22"/>
          <w:szCs w:val="22"/>
          <w:lang w:val="en-US"/>
        </w:rPr>
      </w:pPr>
    </w:p>
    <w:p w14:paraId="0A684A3C" w14:textId="77777777" w:rsidR="00410FB0" w:rsidRPr="00293895" w:rsidRDefault="00410FB0" w:rsidP="00410FB0">
      <w:pPr>
        <w:rPr>
          <w:color w:val="000000"/>
          <w:lang w:val="en-US"/>
        </w:rPr>
      </w:pPr>
      <w:bookmarkStart w:id="0" w:name="_Toc341885285"/>
    </w:p>
    <w:p w14:paraId="5DF49AD7" w14:textId="77777777" w:rsidR="00410FB0" w:rsidRPr="00293895" w:rsidRDefault="00410FB0" w:rsidP="00410FB0">
      <w:pPr>
        <w:rPr>
          <w:color w:val="000000"/>
          <w:lang w:val="en-US"/>
        </w:rPr>
      </w:pPr>
    </w:p>
    <w:p w14:paraId="7576AD30" w14:textId="1BCA7CFB" w:rsidR="00324016" w:rsidRPr="001C2FBB" w:rsidRDefault="00410FB0" w:rsidP="00B12E1E">
      <w:pPr>
        <w:jc w:val="center"/>
        <w:rPr>
          <w:sz w:val="28"/>
          <w:szCs w:val="28"/>
          <w:lang w:val="en-US"/>
        </w:rPr>
      </w:pPr>
      <w:r w:rsidRPr="0062325F">
        <w:rPr>
          <w:sz w:val="28"/>
        </w:rPr>
        <w:t>20</w:t>
      </w:r>
      <w:bookmarkStart w:id="1" w:name="_Toc341885286"/>
      <w:bookmarkEnd w:id="0"/>
      <w:r w:rsidR="001C2FBB">
        <w:rPr>
          <w:sz w:val="28"/>
          <w:lang w:val="en-US"/>
        </w:rPr>
        <w:t>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30000126"/>
        <w:docPartObj>
          <w:docPartGallery w:val="Table of Contents"/>
          <w:docPartUnique/>
        </w:docPartObj>
      </w:sdtPr>
      <w:sdtEndPr/>
      <w:sdtContent>
        <w:p w14:paraId="64DEFA3B" w14:textId="77777777" w:rsidR="00324016" w:rsidRPr="001C2FBB" w:rsidRDefault="00810926">
          <w:pPr>
            <w:pStyle w:val="af3"/>
            <w:rPr>
              <w:rFonts w:asciiTheme="majorBidi" w:hAnsiTheme="majorBidi"/>
              <w:lang w:val="en-US"/>
            </w:rPr>
          </w:pPr>
          <w:r w:rsidRPr="001C2FBB">
            <w:rPr>
              <w:rFonts w:asciiTheme="majorBidi" w:hAnsiTheme="majorBidi"/>
              <w:lang w:val="en-US"/>
            </w:rPr>
            <w:t>Content</w:t>
          </w:r>
          <w:r w:rsidR="00196EBB" w:rsidRPr="001C2FBB">
            <w:rPr>
              <w:rFonts w:asciiTheme="majorBidi" w:hAnsiTheme="majorBidi"/>
              <w:lang w:val="en-US"/>
            </w:rPr>
            <w:t>s</w:t>
          </w:r>
        </w:p>
        <w:p w14:paraId="06C13640" w14:textId="6515D46B" w:rsidR="00550BA2" w:rsidRPr="001C2FBB" w:rsidRDefault="00324016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r w:rsidRPr="001C2FBB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1C2FBB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1C2FBB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26890289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1. DESCRIPTION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_Toc26890289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D4ADE76" w14:textId="102395BC" w:rsidR="00550BA2" w:rsidRPr="001C2FBB" w:rsidRDefault="0099041E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0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2. DETAILS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_Toc26890290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C452AF5" w14:textId="296CD6CE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1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2.1 Scope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_Toc26890291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48DEDE5" w14:textId="006BEC4D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2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2.2 List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_Toc26890292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3EC2B74" w14:textId="227C7C3F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3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2.3 Service share/part in the total scope of the Service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_Toc26890293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64BE300" w14:textId="3B87C8CB" w:rsidR="00550BA2" w:rsidRPr="001C2FBB" w:rsidRDefault="0099041E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4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3. SERVICE REQUIREMENTS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_Toc26890294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8503304" w14:textId="1929D301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5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3.1 General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_Toc26890295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7C20D40" w14:textId="697189D5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6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3.2 Office Requirements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_Toc26890296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A832032" w14:textId="7580F9C0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7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3.3 Guarantee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_Toc26890297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377171A" w14:textId="6CD9FE37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8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3.4 Confidentiality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_Toc26890298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ABDFA83" w14:textId="7EDC7CCA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299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3.5 Service Safety and Service Result Safety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_Toc26890299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5406B07" w14:textId="4AFF848C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0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3.6 Customer Training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_Toc26890300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356B38C" w14:textId="7DD719E3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1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3.7 Requirements for Technical Proposal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_Toc26890301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032F10E" w14:textId="37DA0A7D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2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3.8 Special Requirements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_Toc26890302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D566ED7" w14:textId="7046F827" w:rsidR="00550BA2" w:rsidRPr="001C2FBB" w:rsidRDefault="0099041E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3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4. SERVICE RESULTS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_Toc26890303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7E71641" w14:textId="4D4DD24D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4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4.1 Final Results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_Toc26890304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74DA808" w14:textId="677BC39C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5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4.2 Service Acceptance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_Toc26890305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93434D0" w14:textId="77053DDC" w:rsidR="00550BA2" w:rsidRPr="001C2FBB" w:rsidRDefault="0099041E">
          <w:pPr>
            <w:pStyle w:val="2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6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Subsection 4.3 Deliverables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_Toc26890306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2DAFDC8" w14:textId="1E5C412C" w:rsidR="00550BA2" w:rsidRPr="001C2FBB" w:rsidRDefault="0099041E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7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5. CUSTOMER TECHNICAL TRAINING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_Toc26890307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646C2FE" w14:textId="41F64E49" w:rsidR="00550BA2" w:rsidRPr="001C2FBB" w:rsidRDefault="0099041E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8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6. ABBREVIATIONS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_Toc26890308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3B33BE0" w14:textId="4FBF8F11" w:rsidR="00550BA2" w:rsidRPr="001C2FBB" w:rsidRDefault="0099041E">
          <w:pPr>
            <w:pStyle w:val="13"/>
            <w:tabs>
              <w:tab w:val="right" w:leader="dot" w:pos="9345"/>
            </w:tabs>
            <w:rPr>
              <w:rFonts w:asciiTheme="majorBidi" w:hAnsiTheme="majorBidi" w:cstheme="majorBidi"/>
              <w:noProof/>
            </w:rPr>
          </w:pPr>
          <w:hyperlink w:anchor="_Toc26890309" w:history="1">
            <w:r w:rsidR="00550BA2" w:rsidRPr="001C2FBB">
              <w:rPr>
                <w:rStyle w:val="af1"/>
                <w:rFonts w:asciiTheme="majorBidi" w:hAnsiTheme="majorBidi" w:cstheme="majorBidi"/>
                <w:noProof/>
                <w:lang w:val="en-US"/>
              </w:rPr>
              <w:t>SECTION 7. ANNEXES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ab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instrText xml:space="preserve"> PAGEREF _Toc26890309 \h </w:instrTex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50BA2" w:rsidRPr="001C2FBB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68FEA4C" w14:textId="6E0CE3A7" w:rsidR="00324016" w:rsidRDefault="00324016">
          <w:r w:rsidRPr="001C2FBB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1A1C5016" w14:textId="77777777" w:rsidR="00324016" w:rsidRPr="00324016" w:rsidRDefault="00324016">
      <w:pPr>
        <w:spacing w:after="200" w:line="276" w:lineRule="auto"/>
        <w:rPr>
          <w:sz w:val="28"/>
          <w:szCs w:val="28"/>
        </w:rPr>
      </w:pPr>
      <w:r w:rsidRPr="00324016">
        <w:rPr>
          <w:sz w:val="28"/>
          <w:szCs w:val="28"/>
        </w:rPr>
        <w:br w:type="page"/>
      </w:r>
    </w:p>
    <w:p w14:paraId="4B3913BD" w14:textId="77777777" w:rsidR="005673D1" w:rsidRPr="00411A18" w:rsidRDefault="005673D1" w:rsidP="00F06496">
      <w:pPr>
        <w:pStyle w:val="1"/>
        <w:numPr>
          <w:ilvl w:val="0"/>
          <w:numId w:val="0"/>
        </w:numPr>
        <w:jc w:val="center"/>
        <w:outlineLvl w:val="0"/>
        <w:rPr>
          <w:lang w:val="en-US"/>
        </w:rPr>
      </w:pPr>
      <w:bookmarkStart w:id="2" w:name="_Toc26890289"/>
      <w:r w:rsidRPr="00411A18">
        <w:rPr>
          <w:lang w:val="en-US"/>
        </w:rPr>
        <w:lastRenderedPageBreak/>
        <w:t xml:space="preserve">SECTION 1. </w:t>
      </w:r>
      <w:r w:rsidR="00196EBB">
        <w:rPr>
          <w:lang w:val="en-US"/>
        </w:rPr>
        <w:t>DESCRIPTION</w:t>
      </w:r>
      <w:bookmarkEnd w:id="2"/>
    </w:p>
    <w:p w14:paraId="67B718E4" w14:textId="77777777" w:rsidR="005673D1" w:rsidRPr="000A223A" w:rsidRDefault="005673D1" w:rsidP="00410FB0">
      <w:pPr>
        <w:rPr>
          <w:i/>
          <w:color w:val="00000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286BE4" w14:paraId="7E462480" w14:textId="77777777" w:rsidTr="00410FB0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642DDDB" w14:textId="77777777" w:rsidR="00410FB0" w:rsidRPr="0018149D" w:rsidRDefault="00B24DFF" w:rsidP="0018149D">
            <w:p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830365">
              <w:rPr>
                <w:sz w:val="28"/>
                <w:szCs w:val="28"/>
                <w:lang w:val="en"/>
              </w:rPr>
              <w:t xml:space="preserve">ease of non-residential space for office in </w:t>
            </w:r>
            <w:r w:rsidR="00F06496">
              <w:rPr>
                <w:sz w:val="28"/>
                <w:szCs w:val="28"/>
                <w:lang w:val="en-US"/>
              </w:rPr>
              <w:t>Dubai</w:t>
            </w:r>
            <w:r w:rsidRPr="00830365">
              <w:rPr>
                <w:sz w:val="28"/>
                <w:szCs w:val="28"/>
                <w:lang w:val="en"/>
              </w:rPr>
              <w:t xml:space="preserve"> (</w:t>
            </w:r>
            <w:r w:rsidR="00F06496">
              <w:rPr>
                <w:sz w:val="28"/>
                <w:szCs w:val="28"/>
                <w:lang w:val="en"/>
              </w:rPr>
              <w:t>the United Arab Emirates</w:t>
            </w:r>
            <w:r w:rsidRPr="00830365">
              <w:rPr>
                <w:sz w:val="28"/>
                <w:szCs w:val="28"/>
                <w:lang w:val="en"/>
              </w:rPr>
              <w:t>)</w:t>
            </w:r>
            <w:r w:rsidR="0018149D">
              <w:rPr>
                <w:sz w:val="28"/>
                <w:szCs w:val="28"/>
                <w:lang w:val="en"/>
              </w:rPr>
              <w:t xml:space="preserve"> </w:t>
            </w:r>
            <w:r w:rsidR="0018149D" w:rsidRPr="00B132AC">
              <w:rPr>
                <w:rFonts w:eastAsia="Calibri"/>
                <w:sz w:val="28"/>
                <w:szCs w:val="28"/>
                <w:lang w:val="en-US" w:eastAsia="en-US"/>
              </w:rPr>
              <w:t xml:space="preserve">to be used as an office for </w:t>
            </w:r>
            <w:r w:rsidR="0018149D" w:rsidRPr="00B132AC">
              <w:rPr>
                <w:rFonts w:eastAsia="Calibri" w:cs="Arial"/>
                <w:sz w:val="28"/>
                <w:szCs w:val="28"/>
                <w:lang w:val="en-US" w:eastAsia="en-US"/>
              </w:rPr>
              <w:t>Rosatom Middle East and North Africa FZ LLC</w:t>
            </w:r>
            <w:r w:rsidR="0018149D" w:rsidRPr="00B132AC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</w:tr>
    </w:tbl>
    <w:p w14:paraId="63F32BC6" w14:textId="77777777" w:rsidR="00410FB0" w:rsidRPr="000507B8" w:rsidRDefault="00410FB0" w:rsidP="00410FB0">
      <w:pPr>
        <w:jc w:val="center"/>
        <w:rPr>
          <w:color w:val="000000"/>
          <w:sz w:val="28"/>
          <w:szCs w:val="28"/>
          <w:lang w:val="en-US"/>
        </w:rPr>
      </w:pPr>
    </w:p>
    <w:p w14:paraId="02E32CB7" w14:textId="77777777" w:rsidR="00F0176C" w:rsidRPr="00411A18" w:rsidRDefault="00F0176C" w:rsidP="00F06496">
      <w:pPr>
        <w:pStyle w:val="1"/>
        <w:numPr>
          <w:ilvl w:val="0"/>
          <w:numId w:val="0"/>
        </w:numPr>
        <w:jc w:val="center"/>
        <w:outlineLvl w:val="0"/>
        <w:rPr>
          <w:lang w:val="en-US"/>
        </w:rPr>
      </w:pPr>
      <w:bookmarkStart w:id="3" w:name="_Toc26890290"/>
      <w:r w:rsidRPr="00411A18">
        <w:rPr>
          <w:lang w:val="en-US"/>
        </w:rPr>
        <w:t>SECTION 2. DE</w:t>
      </w:r>
      <w:r w:rsidR="00196EBB">
        <w:rPr>
          <w:lang w:val="en-US"/>
        </w:rPr>
        <w:t>TAILS</w:t>
      </w:r>
      <w:bookmarkEnd w:id="3"/>
    </w:p>
    <w:p w14:paraId="60371D87" w14:textId="77777777" w:rsidR="00410FB0" w:rsidRPr="0062325F" w:rsidRDefault="00410FB0" w:rsidP="00410FB0">
      <w:pPr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196EBB" w14:paraId="14BC3BF1" w14:textId="77777777" w:rsidTr="00410FB0">
        <w:trPr>
          <w:trHeight w:val="2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27F2" w14:textId="77777777" w:rsidR="00410FB0" w:rsidRPr="00293895" w:rsidRDefault="00F0176C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4" w:name="_Toc26890291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2.1 </w:t>
            </w:r>
            <w:r w:rsidR="0019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Scope</w:t>
            </w:r>
            <w:bookmarkEnd w:id="4"/>
          </w:p>
        </w:tc>
      </w:tr>
      <w:tr w:rsidR="00410FB0" w:rsidRPr="00286BE4" w14:paraId="03566E1C" w14:textId="77777777" w:rsidTr="00410FB0">
        <w:trPr>
          <w:trHeight w:val="8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BE7" w14:textId="77777777" w:rsidR="00410FB0" w:rsidRPr="00293895" w:rsidRDefault="00810926" w:rsidP="004817CC">
            <w:pPr>
              <w:jc w:val="both"/>
              <w:rPr>
                <w:sz w:val="28"/>
                <w:szCs w:val="28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>The L</w:t>
            </w:r>
            <w:r w:rsidR="00065D07">
              <w:rPr>
                <w:sz w:val="28"/>
                <w:szCs w:val="28"/>
                <w:lang w:val="en-US"/>
              </w:rPr>
              <w:t>andlord</w:t>
            </w:r>
            <w:r w:rsidRPr="00293895">
              <w:rPr>
                <w:sz w:val="28"/>
                <w:szCs w:val="28"/>
                <w:lang w:val="en-US"/>
              </w:rPr>
              <w:t xml:space="preserve"> shall provide the</w:t>
            </w:r>
            <w:r w:rsidR="00065D07">
              <w:rPr>
                <w:sz w:val="28"/>
                <w:szCs w:val="28"/>
                <w:lang w:val="en-US"/>
              </w:rPr>
              <w:t xml:space="preserve"> Tenant</w:t>
            </w:r>
            <w:r w:rsidRPr="00293895">
              <w:rPr>
                <w:sz w:val="28"/>
                <w:szCs w:val="28"/>
                <w:lang w:val="en-US"/>
              </w:rPr>
              <w:t xml:space="preserve"> with premises </w:t>
            </w:r>
            <w:r w:rsidR="00065D07">
              <w:rPr>
                <w:sz w:val="28"/>
                <w:szCs w:val="28"/>
                <w:lang w:val="en-US"/>
              </w:rPr>
              <w:t>to be</w:t>
            </w:r>
            <w:r w:rsidRPr="00293895">
              <w:rPr>
                <w:sz w:val="28"/>
                <w:szCs w:val="28"/>
                <w:lang w:val="en-US"/>
              </w:rPr>
              <w:t xml:space="preserve"> use</w:t>
            </w:r>
            <w:r w:rsidR="00065D07">
              <w:rPr>
                <w:sz w:val="28"/>
                <w:szCs w:val="28"/>
                <w:lang w:val="en-US"/>
              </w:rPr>
              <w:t>d</w:t>
            </w:r>
            <w:r w:rsidR="00686587">
              <w:rPr>
                <w:sz w:val="28"/>
                <w:szCs w:val="28"/>
                <w:lang w:val="en-US"/>
              </w:rPr>
              <w:t xml:space="preserve"> as</w:t>
            </w:r>
            <w:r w:rsidRPr="00293895">
              <w:rPr>
                <w:sz w:val="28"/>
                <w:szCs w:val="28"/>
                <w:lang w:val="en-US"/>
              </w:rPr>
              <w:t xml:space="preserve"> </w:t>
            </w:r>
            <w:r w:rsidR="00686587" w:rsidRPr="00293895">
              <w:rPr>
                <w:sz w:val="28"/>
                <w:szCs w:val="28"/>
                <w:lang w:val="en-US"/>
              </w:rPr>
              <w:t xml:space="preserve">an office for </w:t>
            </w:r>
            <w:r w:rsidR="004817CC">
              <w:rPr>
                <w:sz w:val="28"/>
                <w:szCs w:val="28"/>
                <w:lang w:val="en-US"/>
              </w:rPr>
              <w:t xml:space="preserve">the </w:t>
            </w:r>
            <w:r w:rsidR="00686587" w:rsidRPr="00293895">
              <w:rPr>
                <w:sz w:val="28"/>
                <w:szCs w:val="28"/>
                <w:lang w:val="en-US"/>
              </w:rPr>
              <w:t xml:space="preserve">employees of the </w:t>
            </w:r>
            <w:r w:rsidR="00686587">
              <w:rPr>
                <w:sz w:val="28"/>
                <w:szCs w:val="28"/>
                <w:lang w:val="en-US"/>
              </w:rPr>
              <w:t>Tenant</w:t>
            </w:r>
            <w:r w:rsidR="00686587" w:rsidRPr="00293895">
              <w:rPr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sz w:val="28"/>
                <w:szCs w:val="28"/>
                <w:lang w:val="en-US"/>
              </w:rPr>
              <w:t>in accordance with the</w:t>
            </w:r>
            <w:r w:rsidR="004817CC">
              <w:rPr>
                <w:sz w:val="28"/>
                <w:szCs w:val="28"/>
                <w:lang w:val="en-US"/>
              </w:rPr>
              <w:t xml:space="preserve"> renting</w:t>
            </w:r>
            <w:r w:rsidRPr="00293895">
              <w:rPr>
                <w:sz w:val="28"/>
                <w:szCs w:val="28"/>
                <w:lang w:val="en-US"/>
              </w:rPr>
              <w:t xml:space="preserve"> purpose.</w:t>
            </w:r>
          </w:p>
        </w:tc>
      </w:tr>
      <w:tr w:rsidR="00410FB0" w:rsidRPr="00293895" w14:paraId="6CF85AAD" w14:textId="77777777" w:rsidTr="00410FB0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F2A" w14:textId="77777777" w:rsidR="00410FB0" w:rsidRPr="00293895" w:rsidRDefault="00F0176C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5" w:name="_Toc26890292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2.2 </w:t>
            </w:r>
            <w:r w:rsidR="00065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bookmarkEnd w:id="5"/>
          </w:p>
        </w:tc>
      </w:tr>
      <w:tr w:rsidR="00410FB0" w:rsidRPr="00286BE4" w14:paraId="4AED49B7" w14:textId="77777777" w:rsidTr="00410FB0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98C2" w14:textId="3DFCDED9" w:rsidR="00687332" w:rsidRPr="004B3484" w:rsidRDefault="00065D07" w:rsidP="008109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Rent of an o</w:t>
            </w:r>
            <w:r w:rsidR="00687332" w:rsidRPr="00293895">
              <w:rPr>
                <w:sz w:val="28"/>
                <w:szCs w:val="28"/>
                <w:lang w:val="en-US"/>
              </w:rPr>
              <w:t xml:space="preserve">ffice </w:t>
            </w:r>
            <w:r>
              <w:rPr>
                <w:sz w:val="28"/>
                <w:szCs w:val="28"/>
                <w:lang w:val="en-US"/>
              </w:rPr>
              <w:t>with the</w:t>
            </w:r>
            <w:r w:rsidR="00687332" w:rsidRPr="00293895">
              <w:rPr>
                <w:sz w:val="28"/>
                <w:szCs w:val="28"/>
                <w:lang w:val="en-US"/>
              </w:rPr>
              <w:t xml:space="preserve"> total area </w:t>
            </w:r>
            <w:r>
              <w:rPr>
                <w:sz w:val="28"/>
                <w:szCs w:val="28"/>
                <w:lang w:val="en-US"/>
              </w:rPr>
              <w:t xml:space="preserve">of </w:t>
            </w:r>
            <w:r w:rsidR="00136071" w:rsidRPr="00A516D6">
              <w:rPr>
                <w:sz w:val="28"/>
                <w:szCs w:val="28"/>
                <w:lang w:val="en-US"/>
              </w:rPr>
              <w:t>10</w:t>
            </w:r>
            <w:r w:rsidR="00136071" w:rsidRPr="001D7651">
              <w:rPr>
                <w:sz w:val="28"/>
                <w:szCs w:val="28"/>
                <w:lang w:val="en-US"/>
              </w:rPr>
              <w:t>7</w:t>
            </w:r>
            <w:r w:rsidR="00136071">
              <w:rPr>
                <w:sz w:val="28"/>
                <w:szCs w:val="28"/>
                <w:lang w:val="en-US"/>
              </w:rPr>
              <w:t>-</w:t>
            </w:r>
            <w:r w:rsidR="00136071" w:rsidRPr="001D7651">
              <w:rPr>
                <w:sz w:val="28"/>
                <w:szCs w:val="28"/>
                <w:lang w:val="en-US"/>
              </w:rPr>
              <w:t>162</w:t>
            </w:r>
            <w:r w:rsidR="00136071">
              <w:rPr>
                <w:sz w:val="28"/>
                <w:szCs w:val="28"/>
                <w:lang w:val="en-US"/>
              </w:rPr>
              <w:t xml:space="preserve"> 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sq. </w:t>
            </w:r>
            <w:r w:rsidR="000E0255">
              <w:rPr>
                <w:sz w:val="28"/>
                <w:szCs w:val="28"/>
                <w:lang w:val="en-US"/>
              </w:rPr>
              <w:t>m</w:t>
            </w:r>
            <w:r w:rsidR="00687332" w:rsidRPr="004B3484">
              <w:rPr>
                <w:sz w:val="28"/>
                <w:szCs w:val="28"/>
                <w:lang w:val="en-US"/>
              </w:rPr>
              <w:t>.</w:t>
            </w:r>
            <w:r w:rsidR="000E02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considering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 the </w:t>
            </w:r>
            <w:r>
              <w:rPr>
                <w:sz w:val="28"/>
                <w:szCs w:val="28"/>
                <w:lang w:val="en-US"/>
              </w:rPr>
              <w:t>passage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 coefficient and </w:t>
            </w:r>
            <w:r w:rsidR="00EB06A9">
              <w:rPr>
                <w:sz w:val="28"/>
                <w:szCs w:val="28"/>
                <w:lang w:val="en-US"/>
              </w:rPr>
              <w:t>service space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s (according to </w:t>
            </w:r>
            <w:r w:rsidR="00E65D2E" w:rsidRPr="004B3484">
              <w:rPr>
                <w:sz w:val="28"/>
                <w:szCs w:val="28"/>
              </w:rPr>
              <w:t>В</w:t>
            </w:r>
            <w:r w:rsidR="00687332" w:rsidRPr="004B3484">
              <w:rPr>
                <w:sz w:val="28"/>
                <w:szCs w:val="28"/>
              </w:rPr>
              <w:t>О</w:t>
            </w:r>
            <w:r w:rsidR="00E65D2E" w:rsidRPr="004B3484">
              <w:rPr>
                <w:sz w:val="28"/>
                <w:szCs w:val="28"/>
                <w:lang w:val="en-US"/>
              </w:rPr>
              <w:t>M</w:t>
            </w:r>
            <w:r w:rsidR="00687332" w:rsidRPr="004B3484">
              <w:rPr>
                <w:sz w:val="28"/>
                <w:szCs w:val="28"/>
              </w:rPr>
              <w:t>А</w:t>
            </w:r>
            <w:r w:rsidR="00687332" w:rsidRPr="004B3484">
              <w:rPr>
                <w:sz w:val="28"/>
                <w:szCs w:val="28"/>
                <w:lang w:val="en-US"/>
              </w:rPr>
              <w:t>).</w:t>
            </w:r>
          </w:p>
          <w:p w14:paraId="282C2823" w14:textId="079CBFA2" w:rsidR="00810926" w:rsidRPr="00293895" w:rsidRDefault="00596464" w:rsidP="008109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0E0255">
              <w:rPr>
                <w:sz w:val="28"/>
                <w:szCs w:val="28"/>
                <w:lang w:val="en-US"/>
              </w:rPr>
              <w:t xml:space="preserve">arking </w:t>
            </w:r>
            <w:r w:rsidR="008B5B86">
              <w:rPr>
                <w:sz w:val="28"/>
                <w:szCs w:val="28"/>
                <w:lang w:val="en-US"/>
              </w:rPr>
              <w:t>space</w:t>
            </w:r>
            <w:r w:rsidR="00065D07">
              <w:rPr>
                <w:sz w:val="28"/>
                <w:szCs w:val="28"/>
                <w:lang w:val="en-US"/>
              </w:rPr>
              <w:t>s</w:t>
            </w:r>
            <w:r w:rsidR="004817C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in the parking lot of the building where the office is rented </w:t>
            </w:r>
            <w:r w:rsidR="004817CC">
              <w:rPr>
                <w:sz w:val="28"/>
                <w:szCs w:val="28"/>
                <w:lang w:val="en-US"/>
              </w:rPr>
              <w:t>are to be available</w:t>
            </w:r>
            <w:r w:rsidR="000E0255">
              <w:rPr>
                <w:sz w:val="28"/>
                <w:szCs w:val="28"/>
                <w:lang w:val="en-US"/>
              </w:rPr>
              <w:t xml:space="preserve"> for</w:t>
            </w:r>
            <w:r w:rsidR="006B70E2">
              <w:rPr>
                <w:sz w:val="28"/>
                <w:szCs w:val="28"/>
                <w:lang w:val="en-US"/>
              </w:rPr>
              <w:t xml:space="preserve"> extra payment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596464">
              <w:rPr>
                <w:sz w:val="28"/>
                <w:szCs w:val="28"/>
                <w:lang w:val="en-US"/>
              </w:rPr>
              <w:t xml:space="preserve">at least 1 car </w:t>
            </w:r>
            <w:r>
              <w:rPr>
                <w:sz w:val="28"/>
                <w:szCs w:val="28"/>
                <w:lang w:val="en-US"/>
              </w:rPr>
              <w:t>space)</w:t>
            </w:r>
            <w:r w:rsidR="00810926" w:rsidRPr="00293895">
              <w:rPr>
                <w:sz w:val="28"/>
                <w:szCs w:val="28"/>
                <w:lang w:val="en-US"/>
              </w:rPr>
              <w:t>.</w:t>
            </w:r>
          </w:p>
          <w:p w14:paraId="410C97B6" w14:textId="77777777" w:rsidR="00810926" w:rsidRPr="00293895" w:rsidRDefault="00810926" w:rsidP="00810926">
            <w:pPr>
              <w:jc w:val="both"/>
              <w:rPr>
                <w:sz w:val="28"/>
                <w:szCs w:val="28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>The L</w:t>
            </w:r>
            <w:r w:rsidR="00065D07">
              <w:rPr>
                <w:sz w:val="28"/>
                <w:szCs w:val="28"/>
                <w:lang w:val="en-US"/>
              </w:rPr>
              <w:t>andlord shall ensure the following</w:t>
            </w:r>
            <w:r w:rsidRPr="00293895">
              <w:rPr>
                <w:sz w:val="28"/>
                <w:szCs w:val="28"/>
                <w:lang w:val="en-US"/>
              </w:rPr>
              <w:t>:</w:t>
            </w:r>
          </w:p>
          <w:p w14:paraId="1B250885" w14:textId="77777777" w:rsidR="004817CC" w:rsidRDefault="00065D07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13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 for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Tenant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76C4A344" w14:textId="6373FEE0" w:rsidR="00810926" w:rsidRPr="004817CC" w:rsidRDefault="00065D07" w:rsidP="00BB1FE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Finished premises</w:t>
            </w:r>
            <w:r w:rsidR="00136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4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36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 to use</w:t>
            </w:r>
            <w:r w:rsidR="00810926" w:rsidRP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0B85672" w14:textId="77777777" w:rsidR="00E12467" w:rsidRPr="00E12467" w:rsidRDefault="00E12467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 building: current and major repairs, finishing works, cleaning and operation (including the foundation, roof, external walls, bearing structures);</w:t>
            </w:r>
          </w:p>
          <w:p w14:paraId="6AD93F3C" w14:textId="77777777" w:rsidR="00810926" w:rsidRPr="00293895" w:rsidRDefault="00E12467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elevators: current and major repairs, replacement of equipment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finishing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operation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elevators and all elevator mechanisms in the building;</w:t>
            </w:r>
          </w:p>
          <w:p w14:paraId="2B5BC953" w14:textId="77777777" w:rsidR="00810926" w:rsidRPr="00293895" w:rsidRDefault="00E12467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HVAC,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electric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networks and electric installations,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plumbing systems, air conditioning and ventilation, building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equipment,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maintenance of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included in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tenant’s scope of 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current and major repairs, replacement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HVAC systems when 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finishing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cleaning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B47379C" w14:textId="77777777" w:rsidR="00810926" w:rsidRPr="00293895" w:rsidRDefault="00E12467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the </w:t>
            </w:r>
            <w:r w:rsidR="00055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outdoor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parking</w:t>
            </w:r>
            <w:r w:rsidR="0013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5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indoor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parking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474E8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current and major repairs, finishin</w:t>
            </w:r>
            <w:r w:rsidR="0013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works, cleaning (ground and/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underground);</w:t>
            </w:r>
          </w:p>
          <w:p w14:paraId="762D604B" w14:textId="77777777" w:rsidR="00810926" w:rsidRPr="00293895" w:rsidRDefault="00055993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common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areas in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building: current and major repairs, replacement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bulb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s, finishing works, cleaning,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lighting,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HVAC systems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5D40A91" w14:textId="77777777" w:rsidR="00810926" w:rsidRPr="00293895" w:rsidRDefault="00055993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</w:t>
            </w:r>
            <w:r w:rsidR="00AF3548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automatic fire alarm and fire extinguishing systems,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firefighting e</w:t>
            </w:r>
            <w:r w:rsidR="00AF3548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quipment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auxiliary devices and equipment: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pair, maintenance, replacement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cleaning including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let in accordance with these Terms of 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eference;</w:t>
            </w:r>
          </w:p>
          <w:p w14:paraId="72A6371D" w14:textId="77777777" w:rsidR="00810926" w:rsidRPr="00293895" w:rsidRDefault="00055993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arbage bins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garbage containers in designated 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areas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4C07E8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any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timely collection and removal of garbage from the building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corresponding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third-party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service;</w:t>
            </w:r>
          </w:p>
          <w:p w14:paraId="6D9D3697" w14:textId="77777777" w:rsidR="00810926" w:rsidRPr="00293895" w:rsidRDefault="00055993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imely cleaning of the building from the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external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</w:t>
            </w:r>
            <w:r w:rsid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including facades and windows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3441DCA" w14:textId="77777777" w:rsidR="00810926" w:rsidRPr="00293895" w:rsidRDefault="00E65D2E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ound-the-clock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 ensuring timely detection and prompt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accidents and malfunctions, and round-the-clock "hot line" for handling current issues related to the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operation;</w:t>
            </w:r>
          </w:p>
          <w:p w14:paraId="2737AD9E" w14:textId="77777777" w:rsidR="00AA0A2B" w:rsidRPr="00293895" w:rsidRDefault="00E65D2E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imely cleaning of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s, including all types of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as well as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dry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cleaning of furniture, curtains, blinds (if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14:paraId="1E0C5B12" w14:textId="77777777" w:rsidR="006F36E8" w:rsidRPr="00293895" w:rsidRDefault="00AA0A2B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egular sanitary and epidemiological works in the building (disinfestation, deratization) in accordance with the requirements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corresponding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authorities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as well as applicable regulatory documents;</w:t>
            </w:r>
          </w:p>
          <w:p w14:paraId="5B0E7EC1" w14:textId="77777777" w:rsidR="007406B9" w:rsidRPr="00293895" w:rsidRDefault="007406B9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imely minor repairs of furniture and finishing elements of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areas, elements of improvement of the adjacent territory (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any)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6219B50" w14:textId="77777777" w:rsidR="007406B9" w:rsidRPr="00293895" w:rsidRDefault="007406B9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ecurity surveillance system and / or other security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in the building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on in the parking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(ground and / or underground);</w:t>
            </w:r>
          </w:p>
          <w:p w14:paraId="625026CD" w14:textId="77777777" w:rsidR="007406B9" w:rsidRPr="00293895" w:rsidRDefault="007406B9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urance for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buildings and </w:t>
            </w:r>
            <w:r w:rsidR="00AB069B" w:rsidRPr="00AB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37ED5F0A" w14:textId="77777777" w:rsidR="007406B9" w:rsidRPr="00293895" w:rsidRDefault="007406B9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Available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emergency response service and emergency repair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any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utility systems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building;</w:t>
            </w:r>
          </w:p>
          <w:p w14:paraId="2863D0EF" w14:textId="77777777" w:rsidR="007406B9" w:rsidRPr="00293895" w:rsidRDefault="007406B9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 safety of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building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1853338C" w14:textId="77777777" w:rsidR="00AE63EA" w:rsidRPr="00293895" w:rsidRDefault="007406B9" w:rsidP="00BB1FEF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Compliance with 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anitary norms and r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egulations</w:t>
            </w:r>
            <w:r w:rsid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10FB0" w:rsidRPr="00286BE4" w14:paraId="1D71AD6F" w14:textId="77777777" w:rsidTr="00410FB0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6DA8" w14:textId="77777777" w:rsidR="00410FB0" w:rsidRPr="00293895" w:rsidRDefault="003B7639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6" w:name="_Toc26890293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Subsection 2.3 S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 share/part in the total scope of the Service</w:t>
            </w:r>
            <w:bookmarkEnd w:id="6"/>
          </w:p>
        </w:tc>
      </w:tr>
      <w:tr w:rsidR="00410FB0" w:rsidRPr="00B24DFF" w14:paraId="768E72C0" w14:textId="77777777" w:rsidTr="00410FB0">
        <w:trPr>
          <w:trHeight w:val="5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4847" w14:textId="7161D7D6" w:rsidR="000E0255" w:rsidRDefault="00EB06A9" w:rsidP="00BB1F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700673">
              <w:rPr>
                <w:sz w:val="28"/>
                <w:szCs w:val="28"/>
                <w:lang w:val="en-US"/>
              </w:rPr>
              <w:t>ffice premises of B+ category or</w:t>
            </w:r>
            <w:r>
              <w:rPr>
                <w:sz w:val="28"/>
                <w:szCs w:val="28"/>
                <w:lang w:val="en-US"/>
              </w:rPr>
              <w:t xml:space="preserve"> better with the area of </w:t>
            </w:r>
            <w:r w:rsidR="005F61B0" w:rsidRPr="00A516D6">
              <w:rPr>
                <w:sz w:val="28"/>
                <w:szCs w:val="28"/>
                <w:lang w:val="en-US"/>
              </w:rPr>
              <w:t>10</w:t>
            </w:r>
            <w:r w:rsidR="00136071" w:rsidRPr="001D7651">
              <w:rPr>
                <w:sz w:val="28"/>
                <w:szCs w:val="28"/>
                <w:lang w:val="en-US"/>
              </w:rPr>
              <w:t>7</w:t>
            </w:r>
            <w:r w:rsidR="0086000E">
              <w:rPr>
                <w:sz w:val="28"/>
                <w:szCs w:val="28"/>
                <w:lang w:val="en-US"/>
              </w:rPr>
              <w:t>-</w:t>
            </w:r>
            <w:r w:rsidR="00136071" w:rsidRPr="001D7651">
              <w:rPr>
                <w:sz w:val="28"/>
                <w:szCs w:val="28"/>
                <w:lang w:val="en-US"/>
              </w:rPr>
              <w:t>162</w:t>
            </w:r>
            <w:r>
              <w:rPr>
                <w:sz w:val="28"/>
                <w:szCs w:val="28"/>
                <w:lang w:val="en-US"/>
              </w:rPr>
              <w:t xml:space="preserve"> sq.</w:t>
            </w:r>
            <w:r w:rsidR="007006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 considering the passage coefficient and service spaces (according to BOMA)</w:t>
            </w:r>
            <w:r w:rsidR="000E0255" w:rsidRPr="004B3484">
              <w:rPr>
                <w:sz w:val="28"/>
                <w:szCs w:val="28"/>
                <w:lang w:val="en-US"/>
              </w:rPr>
              <w:t>.</w:t>
            </w:r>
          </w:p>
          <w:p w14:paraId="713C942C" w14:textId="77777777" w:rsidR="0086000E" w:rsidRPr="004B3484" w:rsidRDefault="0086000E" w:rsidP="00BB1FEF">
            <w:pPr>
              <w:jc w:val="both"/>
              <w:rPr>
                <w:sz w:val="28"/>
                <w:szCs w:val="28"/>
                <w:lang w:val="en-US"/>
              </w:rPr>
            </w:pPr>
            <w:r w:rsidRPr="0086000E">
              <w:rPr>
                <w:sz w:val="28"/>
                <w:szCs w:val="28"/>
                <w:lang w:val="en-US"/>
              </w:rPr>
              <w:t>The corridor coefficient (the area of common premises) should not be more than 20% of the area of the leased space for buildings of class B+ and not more than 12% for Class A buildings.</w:t>
            </w:r>
          </w:p>
          <w:p w14:paraId="3C0D47A8" w14:textId="77777777" w:rsidR="00596464" w:rsidRPr="00293895" w:rsidRDefault="00596464" w:rsidP="00BB1F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Parking spaces in the parking lot of the building where the office is rented are to be available for extra payment (</w:t>
            </w:r>
            <w:r w:rsidRPr="00596464">
              <w:rPr>
                <w:sz w:val="28"/>
                <w:szCs w:val="28"/>
                <w:lang w:val="en-US"/>
              </w:rPr>
              <w:t xml:space="preserve">at least 1 car </w:t>
            </w:r>
            <w:r>
              <w:rPr>
                <w:sz w:val="28"/>
                <w:szCs w:val="28"/>
                <w:lang w:val="en-US"/>
              </w:rPr>
              <w:t>space)</w:t>
            </w:r>
            <w:r w:rsidRPr="00293895">
              <w:rPr>
                <w:sz w:val="28"/>
                <w:szCs w:val="28"/>
                <w:lang w:val="en-US"/>
              </w:rPr>
              <w:t>.</w:t>
            </w:r>
          </w:p>
          <w:p w14:paraId="6482D29E" w14:textId="77777777" w:rsidR="007406B9" w:rsidRPr="00293895" w:rsidRDefault="00545E8D" w:rsidP="00BB1F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293895">
              <w:rPr>
                <w:sz w:val="28"/>
                <w:szCs w:val="28"/>
                <w:lang w:val="en-US"/>
              </w:rPr>
              <w:t>ffice-type or combined</w:t>
            </w:r>
            <w:r w:rsidR="007406B9" w:rsidRPr="00293895">
              <w:rPr>
                <w:sz w:val="28"/>
                <w:szCs w:val="28"/>
                <w:lang w:val="en-US"/>
              </w:rPr>
              <w:t xml:space="preserve"> layout </w:t>
            </w:r>
            <w:r w:rsidR="00F7206A" w:rsidRPr="00293895">
              <w:rPr>
                <w:sz w:val="28"/>
                <w:szCs w:val="28"/>
                <w:lang w:val="en-US"/>
              </w:rPr>
              <w:t xml:space="preserve">with the </w:t>
            </w:r>
            <w:r>
              <w:rPr>
                <w:sz w:val="28"/>
                <w:szCs w:val="28"/>
                <w:lang w:val="en-US"/>
              </w:rPr>
              <w:t>capacity for</w:t>
            </w:r>
            <w:r w:rsidR="007406B9" w:rsidRPr="00293895">
              <w:rPr>
                <w:sz w:val="28"/>
                <w:szCs w:val="28"/>
                <w:lang w:val="en-US"/>
              </w:rPr>
              <w:t xml:space="preserve"> at least </w:t>
            </w:r>
            <w:r w:rsidR="005F61B0" w:rsidRPr="00A516D6">
              <w:rPr>
                <w:sz w:val="28"/>
                <w:szCs w:val="28"/>
                <w:lang w:val="en-US"/>
              </w:rPr>
              <w:t>7</w:t>
            </w:r>
            <w:r w:rsidR="007406B9" w:rsidRPr="00293895">
              <w:rPr>
                <w:sz w:val="28"/>
                <w:szCs w:val="28"/>
                <w:lang w:val="en-US"/>
              </w:rPr>
              <w:t xml:space="preserve"> employees.</w:t>
            </w:r>
          </w:p>
          <w:p w14:paraId="09D6E865" w14:textId="77777777" w:rsidR="0018149D" w:rsidRPr="0018149D" w:rsidRDefault="0018149D" w:rsidP="00BB1FEF">
            <w:pPr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sz w:val="28"/>
                <w:szCs w:val="28"/>
                <w:lang w:val="en-US"/>
              </w:rPr>
              <w:t>The layout of the office is to include the following premises (or be able to make changes during repair):</w:t>
            </w:r>
          </w:p>
          <w:p w14:paraId="149E1AE0" w14:textId="07621291" w:rsidR="0018149D" w:rsidRPr="0018149D" w:rsidRDefault="0018149D" w:rsidP="00BB1FE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sz w:val="28"/>
                <w:szCs w:val="28"/>
                <w:lang w:val="en-US"/>
              </w:rPr>
              <w:t xml:space="preserve">1 meeting room of ​​at least 20 sq. m. but not exceeding </w:t>
            </w:r>
            <w:r w:rsidR="00136071" w:rsidRPr="001D7651">
              <w:rPr>
                <w:sz w:val="28"/>
                <w:szCs w:val="28"/>
                <w:lang w:val="en-US"/>
              </w:rPr>
              <w:t>40</w:t>
            </w:r>
            <w:r w:rsidRPr="0018149D">
              <w:rPr>
                <w:sz w:val="28"/>
                <w:szCs w:val="28"/>
                <w:lang w:val="en-US"/>
              </w:rPr>
              <w:t xml:space="preserve"> sq. m.;</w:t>
            </w:r>
          </w:p>
          <w:p w14:paraId="1079AEFD" w14:textId="77777777" w:rsidR="0018149D" w:rsidRPr="0018149D" w:rsidRDefault="0018149D" w:rsidP="00BB1FE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sz w:val="28"/>
                <w:szCs w:val="28"/>
              </w:rPr>
              <w:t>3</w:t>
            </w:r>
            <w:r w:rsidRPr="0018149D">
              <w:rPr>
                <w:sz w:val="28"/>
                <w:szCs w:val="28"/>
                <w:lang w:val="en-US"/>
              </w:rPr>
              <w:t xml:space="preserve"> office rooms:</w:t>
            </w:r>
          </w:p>
          <w:p w14:paraId="1528A185" w14:textId="12FEE44F" w:rsidR="0018149D" w:rsidRPr="009308C6" w:rsidRDefault="001D7651" w:rsidP="009308C6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en-US"/>
              </w:rPr>
            </w:pPr>
            <w:r w:rsidRPr="001D7651">
              <w:rPr>
                <w:sz w:val="28"/>
                <w:szCs w:val="28"/>
                <w:lang w:val="en-US"/>
              </w:rPr>
              <w:t>an executive office</w:t>
            </w:r>
            <w:r w:rsidRPr="009308C6">
              <w:rPr>
                <w:sz w:val="28"/>
                <w:szCs w:val="28"/>
                <w:lang w:val="en-US"/>
              </w:rPr>
              <w:t xml:space="preserve">, </w:t>
            </w:r>
            <w:r w:rsidR="0018149D" w:rsidRPr="009308C6">
              <w:rPr>
                <w:sz w:val="28"/>
                <w:szCs w:val="28"/>
                <w:lang w:val="en-US"/>
              </w:rPr>
              <w:t xml:space="preserve">not less than total 45 sq. m but not exceeding </w:t>
            </w:r>
            <w:r w:rsidR="00CB127A" w:rsidRPr="009308C6">
              <w:rPr>
                <w:sz w:val="28"/>
                <w:szCs w:val="28"/>
                <w:lang w:val="en-US"/>
              </w:rPr>
              <w:t xml:space="preserve">total </w:t>
            </w:r>
            <w:r w:rsidR="00136071" w:rsidRPr="009308C6">
              <w:rPr>
                <w:sz w:val="28"/>
                <w:szCs w:val="28"/>
                <w:lang w:val="en-US"/>
              </w:rPr>
              <w:t>60</w:t>
            </w:r>
            <w:r w:rsidR="0018149D" w:rsidRPr="009308C6">
              <w:rPr>
                <w:sz w:val="28"/>
                <w:szCs w:val="28"/>
                <w:lang w:val="en-US"/>
              </w:rPr>
              <w:t xml:space="preserve"> sq. m</w:t>
            </w:r>
            <w:r w:rsidRPr="009308C6">
              <w:rPr>
                <w:sz w:val="28"/>
                <w:szCs w:val="28"/>
                <w:lang w:val="en-US"/>
              </w:rPr>
              <w:t xml:space="preserve">, </w:t>
            </w:r>
            <w:r w:rsidR="0018149D" w:rsidRPr="009308C6">
              <w:rPr>
                <w:sz w:val="28"/>
                <w:szCs w:val="28"/>
                <w:lang w:val="en-US"/>
              </w:rPr>
              <w:t xml:space="preserve">with the outer office () of not less than </w:t>
            </w:r>
            <w:r w:rsidR="00136071" w:rsidRPr="009308C6">
              <w:rPr>
                <w:sz w:val="28"/>
                <w:szCs w:val="28"/>
                <w:lang w:val="en-US"/>
              </w:rPr>
              <w:t>20</w:t>
            </w:r>
            <w:r w:rsidR="0018149D" w:rsidRPr="009308C6">
              <w:rPr>
                <w:sz w:val="28"/>
                <w:szCs w:val="28"/>
                <w:lang w:val="en-US"/>
              </w:rPr>
              <w:t xml:space="preserve"> sq. m. but not exceeding </w:t>
            </w:r>
            <w:r w:rsidR="00136071" w:rsidRPr="009308C6">
              <w:rPr>
                <w:sz w:val="28"/>
                <w:szCs w:val="28"/>
                <w:lang w:val="en-US"/>
              </w:rPr>
              <w:t>3</w:t>
            </w:r>
            <w:r w:rsidR="0018149D" w:rsidRPr="009308C6">
              <w:rPr>
                <w:sz w:val="28"/>
                <w:szCs w:val="28"/>
                <w:lang w:val="en-US"/>
              </w:rPr>
              <w:t>0 sq. m.</w:t>
            </w:r>
            <w:r w:rsidR="00CB127A" w:rsidRPr="009308C6">
              <w:rPr>
                <w:sz w:val="28"/>
                <w:szCs w:val="28"/>
                <w:lang w:val="en-US"/>
              </w:rPr>
              <w:t xml:space="preserve"> for director with reception area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52C93891" w14:textId="3446E0F0" w:rsidR="0018149D" w:rsidRDefault="0018149D" w:rsidP="00BB1FE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sz w:val="28"/>
                <w:szCs w:val="28"/>
                <w:lang w:val="en-US"/>
              </w:rPr>
              <w:t xml:space="preserve">not less than 18 sq. m but not exceeding </w:t>
            </w:r>
            <w:r w:rsidR="00136071" w:rsidRPr="001D7651">
              <w:rPr>
                <w:sz w:val="28"/>
                <w:szCs w:val="28"/>
                <w:lang w:val="en-US"/>
              </w:rPr>
              <w:t>3</w:t>
            </w:r>
            <w:r w:rsidRPr="0018149D">
              <w:rPr>
                <w:sz w:val="28"/>
                <w:szCs w:val="28"/>
                <w:lang w:val="en-US"/>
              </w:rPr>
              <w:t>0 sq. m</w:t>
            </w:r>
            <w:r w:rsidR="00CB127A">
              <w:rPr>
                <w:sz w:val="28"/>
                <w:szCs w:val="28"/>
                <w:lang w:val="en-US"/>
              </w:rPr>
              <w:t xml:space="preserve"> (for deputy director)</w:t>
            </w:r>
          </w:p>
          <w:p w14:paraId="0C8BF6EF" w14:textId="77777777" w:rsidR="00CB127A" w:rsidRDefault="00CB127A" w:rsidP="00BB1FE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space area - not less than 20 sq.m but not exceeding 28 sq.m</w:t>
            </w:r>
          </w:p>
          <w:p w14:paraId="708CE3A5" w14:textId="77777777" w:rsidR="0018149D" w:rsidRPr="0018149D" w:rsidRDefault="0018149D" w:rsidP="00BB1FE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sz w:val="28"/>
                <w:szCs w:val="28"/>
                <w:lang w:val="en-US"/>
              </w:rPr>
              <w:t>Catering area for executive meetings (kitchenette).</w:t>
            </w:r>
          </w:p>
          <w:p w14:paraId="68063351" w14:textId="77777777" w:rsidR="0018149D" w:rsidRPr="0018149D" w:rsidRDefault="0018149D" w:rsidP="00BB1FE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sz w:val="28"/>
                <w:szCs w:val="28"/>
                <w:lang w:val="en-US"/>
              </w:rPr>
              <w:t>1 room for storing server equipment not less than 4 sq. m with an air conditioning system or the ability to install a backup air conditioning system in it;</w:t>
            </w:r>
          </w:p>
          <w:p w14:paraId="50EB865D" w14:textId="77777777" w:rsidR="004B2DB2" w:rsidRPr="00293895" w:rsidRDefault="0018149D" w:rsidP="00BB1FEF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1814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restroom in the office</w:t>
            </w:r>
          </w:p>
        </w:tc>
      </w:tr>
    </w:tbl>
    <w:p w14:paraId="7A80B6AD" w14:textId="77777777" w:rsidR="003B7639" w:rsidRPr="00411A18" w:rsidRDefault="003B7639" w:rsidP="001C2FBB">
      <w:pPr>
        <w:pStyle w:val="1"/>
        <w:numPr>
          <w:ilvl w:val="0"/>
          <w:numId w:val="0"/>
        </w:numPr>
        <w:jc w:val="center"/>
        <w:outlineLvl w:val="0"/>
        <w:rPr>
          <w:lang w:val="en-US"/>
        </w:rPr>
      </w:pPr>
      <w:bookmarkStart w:id="7" w:name="_Toc26890294"/>
      <w:r w:rsidRPr="00411A18">
        <w:rPr>
          <w:lang w:val="en-US"/>
        </w:rPr>
        <w:lastRenderedPageBreak/>
        <w:t xml:space="preserve">SECTION 3. </w:t>
      </w:r>
      <w:r w:rsidR="005F0AFD">
        <w:rPr>
          <w:lang w:val="en-US"/>
        </w:rPr>
        <w:t xml:space="preserve">SERVICE </w:t>
      </w:r>
      <w:r w:rsidRPr="00411A18">
        <w:rPr>
          <w:lang w:val="en-US"/>
        </w:rPr>
        <w:t>REQUIREMENTS</w:t>
      </w:r>
      <w:bookmarkEnd w:id="7"/>
    </w:p>
    <w:p w14:paraId="36ED146B" w14:textId="77777777" w:rsidR="003B7639" w:rsidRPr="003B7639" w:rsidRDefault="003B7639" w:rsidP="00324016">
      <w:pPr>
        <w:keepNext/>
        <w:outlineLvl w:val="0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293895" w14:paraId="6D6AC433" w14:textId="77777777" w:rsidTr="00D0390D">
        <w:trPr>
          <w:trHeight w:val="3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876A" w14:textId="29248C16" w:rsidR="00410FB0" w:rsidRPr="00293895" w:rsidRDefault="003B7639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8" w:name="_Toc26890295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Subsection 3.1 General</w:t>
            </w:r>
            <w:bookmarkEnd w:id="8"/>
          </w:p>
        </w:tc>
      </w:tr>
      <w:tr w:rsidR="00410FB0" w:rsidRPr="00286BE4" w14:paraId="14EE7CFB" w14:textId="77777777" w:rsidTr="00773CB3">
        <w:trPr>
          <w:trHeight w:val="8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870" w14:textId="77777777" w:rsidR="00B132AC" w:rsidRPr="00B132AC" w:rsidRDefault="00B132AC" w:rsidP="00B132AC">
            <w:pPr>
              <w:jc w:val="both"/>
              <w:rPr>
                <w:sz w:val="28"/>
                <w:szCs w:val="28"/>
                <w:lang w:val="en-US"/>
              </w:rPr>
            </w:pPr>
            <w:r w:rsidRPr="00B132AC">
              <w:rPr>
                <w:sz w:val="28"/>
                <w:szCs w:val="28"/>
                <w:lang w:val="en-US"/>
              </w:rPr>
              <w:t>3.1.1. Rent of non-residential premises to be used as offices.</w:t>
            </w:r>
          </w:p>
          <w:p w14:paraId="74B16758" w14:textId="33485A7A" w:rsidR="00B132AC" w:rsidRPr="00B132AC" w:rsidRDefault="00B132AC" w:rsidP="00B132AC">
            <w:pPr>
              <w:jc w:val="both"/>
              <w:rPr>
                <w:sz w:val="28"/>
                <w:szCs w:val="28"/>
                <w:lang w:val="en-US"/>
              </w:rPr>
            </w:pPr>
            <w:r w:rsidRPr="00B132AC">
              <w:rPr>
                <w:sz w:val="28"/>
                <w:szCs w:val="28"/>
                <w:lang w:val="en-US"/>
              </w:rPr>
              <w:t xml:space="preserve">3.1.2. Validity of the rent agreement: </w:t>
            </w:r>
            <w:r w:rsidR="001C2FBB" w:rsidRPr="00286BE4">
              <w:rPr>
                <w:sz w:val="28"/>
                <w:szCs w:val="28"/>
                <w:lang w:val="en-US"/>
              </w:rPr>
              <w:t>12</w:t>
            </w:r>
            <w:r w:rsidRPr="00B132AC">
              <w:rPr>
                <w:sz w:val="28"/>
                <w:szCs w:val="28"/>
                <w:lang w:val="en-US"/>
              </w:rPr>
              <w:t xml:space="preserve"> months.</w:t>
            </w:r>
          </w:p>
          <w:p w14:paraId="795A369F" w14:textId="7405C0F2" w:rsidR="00DF24D1" w:rsidRPr="00B132AC" w:rsidRDefault="00B132AC" w:rsidP="007E26D6">
            <w:pPr>
              <w:jc w:val="both"/>
              <w:rPr>
                <w:sz w:val="28"/>
                <w:szCs w:val="28"/>
                <w:lang w:val="en-US"/>
              </w:rPr>
            </w:pPr>
            <w:r w:rsidRPr="00B132AC">
              <w:rPr>
                <w:sz w:val="28"/>
                <w:szCs w:val="28"/>
                <w:lang w:val="en-US"/>
              </w:rPr>
              <w:t>3.1.</w:t>
            </w:r>
            <w:r w:rsidR="00A255F5" w:rsidRPr="00773CB3">
              <w:rPr>
                <w:sz w:val="28"/>
                <w:szCs w:val="28"/>
                <w:lang w:val="en-US"/>
              </w:rPr>
              <w:t>3</w:t>
            </w:r>
            <w:r w:rsidRPr="00B132AC">
              <w:rPr>
                <w:sz w:val="28"/>
                <w:szCs w:val="28"/>
                <w:lang w:val="en-US"/>
              </w:rPr>
              <w:t>. Rental vacations for the Tenant: at least 30 days.</w:t>
            </w:r>
          </w:p>
        </w:tc>
      </w:tr>
      <w:tr w:rsidR="00410FB0" w:rsidRPr="009A4211" w14:paraId="4BD24F03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F079" w14:textId="0C72BF60" w:rsidR="00410FB0" w:rsidRPr="00293895" w:rsidRDefault="003B7639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9" w:name="_Toc26890296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Subsection</w:t>
            </w:r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3.2 </w:t>
            </w:r>
            <w:r w:rsidR="007859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Office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Requirements</w:t>
            </w:r>
            <w:bookmarkEnd w:id="9"/>
          </w:p>
        </w:tc>
      </w:tr>
      <w:tr w:rsidR="00410FB0" w:rsidRPr="00286BE4" w14:paraId="04517C7B" w14:textId="77777777" w:rsidTr="00FE7E66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612" w14:textId="77777777" w:rsidR="00B132AC" w:rsidRPr="00B132AC" w:rsidRDefault="00B132AC" w:rsidP="00B132AC">
            <w:pPr>
              <w:jc w:val="both"/>
              <w:rPr>
                <w:sz w:val="28"/>
                <w:szCs w:val="28"/>
                <w:lang w:val="en-US"/>
              </w:rPr>
            </w:pPr>
            <w:r w:rsidRPr="00B132AC">
              <w:rPr>
                <w:sz w:val="28"/>
                <w:szCs w:val="28"/>
                <w:lang w:val="en-US"/>
              </w:rPr>
              <w:t>3.2.1 The United Arab Emirates, Emirates - Dubai, not more than 30 minutes’ drive to the airport.</w:t>
            </w:r>
          </w:p>
          <w:p w14:paraId="26ABD488" w14:textId="23988B77" w:rsidR="00B132AC" w:rsidRPr="00B132AC" w:rsidRDefault="00B132AC" w:rsidP="00B132AC">
            <w:pPr>
              <w:numPr>
                <w:ilvl w:val="0"/>
                <w:numId w:val="24"/>
              </w:numPr>
              <w:ind w:left="1070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32AC">
              <w:rPr>
                <w:rFonts w:eastAsia="Calibri"/>
                <w:sz w:val="28"/>
                <w:szCs w:val="28"/>
                <w:lang w:val="en-US" w:eastAsia="en-US"/>
              </w:rPr>
              <w:t>Areas: Dubai Media City</w:t>
            </w:r>
            <w:r w:rsidR="008A3CFA">
              <w:rPr>
                <w:rFonts w:eastAsia="Calibri"/>
                <w:sz w:val="28"/>
                <w:szCs w:val="28"/>
                <w:lang w:val="en-US" w:eastAsia="en-US"/>
              </w:rPr>
              <w:t>, Dubai Internet City.</w:t>
            </w:r>
          </w:p>
          <w:p w14:paraId="29051FC7" w14:textId="77777777" w:rsidR="00B132AC" w:rsidRPr="00B132AC" w:rsidRDefault="00B132AC" w:rsidP="00B132AC">
            <w:pPr>
              <w:numPr>
                <w:ilvl w:val="0"/>
                <w:numId w:val="24"/>
              </w:numPr>
              <w:ind w:left="1070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32AC">
              <w:rPr>
                <w:rFonts w:eastAsia="Calibri"/>
                <w:sz w:val="28"/>
                <w:szCs w:val="28"/>
                <w:lang w:val="en-US" w:eastAsia="en-US"/>
              </w:rPr>
              <w:t>Parking and unrestricted access for vehicles;</w:t>
            </w:r>
          </w:p>
          <w:p w14:paraId="44A0DBE0" w14:textId="77777777" w:rsidR="00B132AC" w:rsidRPr="00B132AC" w:rsidRDefault="00B132AC" w:rsidP="00B132AC">
            <w:pPr>
              <w:numPr>
                <w:ilvl w:val="0"/>
                <w:numId w:val="24"/>
              </w:numPr>
              <w:ind w:left="1070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32AC">
              <w:rPr>
                <w:rFonts w:eastAsia="Calibri"/>
                <w:sz w:val="28"/>
                <w:szCs w:val="28"/>
                <w:lang w:val="en-US" w:eastAsia="en-US"/>
              </w:rPr>
              <w:t>Traffic intersection near the office building.</w:t>
            </w:r>
          </w:p>
          <w:p w14:paraId="6A1FFE42" w14:textId="77777777" w:rsidR="00B132AC" w:rsidRPr="00B132AC" w:rsidRDefault="00B132AC" w:rsidP="00B132AC">
            <w:p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32AC">
              <w:rPr>
                <w:rFonts w:eastAsia="Calibri"/>
                <w:sz w:val="28"/>
                <w:szCs w:val="28"/>
                <w:lang w:val="en-US" w:eastAsia="en-US"/>
              </w:rPr>
              <w:t xml:space="preserve">3.2.2. The premises for rent are to be non-residential and suitable to be used as an office for </w:t>
            </w:r>
            <w:r w:rsidRPr="00B132AC">
              <w:rPr>
                <w:rFonts w:eastAsia="Calibri" w:cs="Arial"/>
                <w:sz w:val="28"/>
                <w:szCs w:val="28"/>
                <w:lang w:val="en-US" w:eastAsia="en-US"/>
              </w:rPr>
              <w:t>Rosatom Middle East and North Africa FZ LLC</w:t>
            </w:r>
            <w:r w:rsidRPr="00B132AC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  <w:p w14:paraId="686A1AAB" w14:textId="77777777" w:rsidR="00260E70" w:rsidRPr="00293895" w:rsidRDefault="0058011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3.2.3.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remises </w:t>
            </w:r>
            <w:r w:rsidR="0078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rent are to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located in a</w:t>
            </w:r>
            <w:r w:rsidR="0078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separate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area, on one floor, with a separate entrance (or several entrances) 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i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compliance with current trends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98DF327" w14:textId="77777777" w:rsidR="00260E70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ttended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parking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70E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(ground and/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underground)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to be available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territory adjac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to the building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premises for rent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the Tenant is to be provided with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least 1 (one) parking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space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extra payment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5B6019F" w14:textId="77777777" w:rsidR="00260E70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uest 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arking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to be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available of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 payment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2692487" w14:textId="77777777" w:rsidR="0058011E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premises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 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serviceable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utility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systems (heating, electricity, air conditioning and sewerage, water disposal, water supply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1564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applicable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and lighting equipment.</w:t>
            </w:r>
          </w:p>
          <w:p w14:paraId="66AB1ADE" w14:textId="77777777" w:rsidR="0058011E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enant employees are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provided with 24-hour access to the rente</w:t>
            </w:r>
            <w:r w:rsidR="0058011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premises, to the building and/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protected area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building is located.</w:t>
            </w:r>
          </w:p>
          <w:p w14:paraId="4D32AFF5" w14:textId="77777777" w:rsidR="0058011E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office is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located in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basement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basement floors of the building.</w:t>
            </w:r>
          </w:p>
          <w:p w14:paraId="2C9526C4" w14:textId="77777777" w:rsidR="0058011E" w:rsidRPr="00293895" w:rsidRDefault="00E0048D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premises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 are not to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 common entrance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located on the same floor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wholesale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 trade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or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catering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facilitie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(cafe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dining room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restaurants, etc.).</w:t>
            </w:r>
          </w:p>
          <w:p w14:paraId="70FD0218" w14:textId="77777777" w:rsidR="0058011E" w:rsidRPr="00293895" w:rsidRDefault="0058011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to have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least two separate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rooms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(with at least two booths in each)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each floor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5464B34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lectrical, telephone and network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cabling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are to be done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false ceiling, or in cable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trays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 areas,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cable is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connected to the workstations through channels in the floor (including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below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58011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floor) or cable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trays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4BFE6BA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LAN (Internet)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connection is to be available or possible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103496F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L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andlord shall not restrict the Tenant’s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communication contracts with any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624F553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premises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have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electric lighting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according to the requirements for point number and power in compliance with the 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anitary norms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applicable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="00CB1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United Arab Emirates.</w:t>
            </w:r>
          </w:p>
          <w:p w14:paraId="32E44E5D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premises and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escape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routes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equipped with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lighting.</w:t>
            </w:r>
          </w:p>
          <w:p w14:paraId="7B9F1E1F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least 2 passenger elevators and 1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elevator,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3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-passenger elevators of the leading international brands (if the premises are located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second floor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higher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to be available in the building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2539163" w14:textId="77777777" w:rsidR="001608F3" w:rsidRPr="00293895" w:rsidRDefault="004041E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Possibilities for delivering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correspondence addressed to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Tenant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to be ensured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AFD3BD5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ublic catering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facilities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(cafe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dining room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restaurant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to be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available in the building (o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the adjoining territory).</w:t>
            </w:r>
          </w:p>
          <w:p w14:paraId="5FED5569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erritory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be ensured including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ideo surveillance system in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  <w:p w14:paraId="2EF280E0" w14:textId="77777777"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3.2.2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permissible share of the auxiliary area in the total area of ​​the building (area loss factor)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exceed 20%.</w:t>
            </w:r>
          </w:p>
          <w:p w14:paraId="2846E226" w14:textId="28A29FCD" w:rsidR="00B132AC" w:rsidRDefault="00A832A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31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remises</w:t>
            </w:r>
            <w:r w:rsidR="00131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comply with all fire safety requirements, </w:t>
            </w:r>
            <w:r w:rsidR="00131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equipped with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fire alarm systems, firefighting and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annunciation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systems. 3.2.</w:t>
            </w:r>
            <w:r w:rsidR="00117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B132AC" w:rsidRPr="00B13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premises for rent are to be prepared for acceptance by the Tenant on or before the </w:t>
            </w:r>
            <w:r w:rsidR="001C2FBB" w:rsidRPr="0028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1C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32AC" w:rsidRPr="00B13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 of </w:t>
            </w:r>
            <w:r w:rsidR="001C2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February </w:t>
            </w:r>
            <w:r w:rsidR="00B132AC" w:rsidRPr="00B13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C2FBB" w:rsidRPr="0028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B132AC" w:rsidRPr="00B13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425E9E4D" w14:textId="37D7EA4C" w:rsidR="00132324" w:rsidRPr="00293895" w:rsidRDefault="00A832A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117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Modern interior decoration. The walls of the 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premises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have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colors. No extra expenses for the premises repairs are to be required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windows are to be of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fiberglass (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least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glazing). In the premises (except for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rooms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no visible elements of the building structure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HVAC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systems and equipment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allowed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including the following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open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steel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structures, open air ducts, beams, heatin</w:t>
            </w:r>
            <w:r w:rsidR="00132324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r w:rsidR="00851DAB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pipes </w:t>
            </w:r>
            <w:r w:rsidR="00132324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etc.</w:t>
            </w:r>
          </w:p>
          <w:p w14:paraId="7A6EB638" w14:textId="2F10321F" w:rsidR="00A841FA" w:rsidRPr="00293895" w:rsidRDefault="00A841FA" w:rsidP="008B5B8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FB0" w:rsidRPr="009A4211" w14:paraId="148D9BB2" w14:textId="77777777" w:rsidTr="00B12E1E">
        <w:trPr>
          <w:trHeight w:val="2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3128" w14:textId="439FCF13" w:rsidR="00FA04D1" w:rsidRPr="00293895" w:rsidRDefault="00B12E1E" w:rsidP="0032401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  <w:bookmarkStart w:id="10" w:name="_Toc26890297"/>
            <w:r w:rsidRPr="00B12E1E">
              <w:rPr>
                <w:sz w:val="28"/>
                <w:szCs w:val="28"/>
                <w:lang w:val="en-US"/>
              </w:rPr>
              <w:lastRenderedPageBreak/>
              <w:t>Subsection 3.3 Guarantee</w:t>
            </w:r>
            <w:bookmarkEnd w:id="10"/>
          </w:p>
          <w:p w14:paraId="2567A765" w14:textId="44A8AA30" w:rsidR="00142E5C" w:rsidRPr="00293895" w:rsidRDefault="00142E5C" w:rsidP="006853B2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FB0" w:rsidRPr="00286BE4" w14:paraId="38A04C20" w14:textId="77777777" w:rsidTr="004B3484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B284" w14:textId="77777777" w:rsidR="008B5A92" w:rsidRPr="00293895" w:rsidRDefault="00410FB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3.3.1. </w:t>
            </w:r>
            <w:r w:rsidR="006D708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premises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be</w:t>
            </w:r>
            <w:r w:rsidR="006D708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operational throughout the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</w:t>
            </w:r>
            <w:r w:rsidR="006D708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period.</w:t>
            </w:r>
          </w:p>
          <w:p w14:paraId="24BF23EF" w14:textId="77777777" w:rsidR="008B5A92" w:rsidRPr="00293895" w:rsidRDefault="00F431AB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3.3.2. 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Landlord shall guarantee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the premises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are let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from any charges, liens or any other encumbrances,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rights and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property disputes; the Landlord shall guarantee 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possibility of using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address as the address of the location of the legal entity and 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also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possibility 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subletting 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 on the Landlor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written consent.</w:t>
            </w:r>
          </w:p>
          <w:p w14:paraId="53D24138" w14:textId="77777777" w:rsidR="008B5A92" w:rsidRPr="00293895" w:rsidRDefault="008B5A92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3.3.3. The L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andlor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guarantees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 title for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transaction.</w:t>
            </w:r>
          </w:p>
          <w:p w14:paraId="441CE06E" w14:textId="77777777" w:rsidR="00405AC0" w:rsidRPr="00293895" w:rsidRDefault="008B5A92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3.3.4. The L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andlord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guarantees that </w:t>
            </w:r>
            <w:r w:rsidR="00630821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="00630821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specified in the agreement are</w:t>
            </w:r>
            <w:r w:rsidR="00630821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free and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suitable for rent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date of the rent agreement</w:t>
            </w:r>
            <w:r w:rsidR="00405AC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2DAA2B2" w14:textId="77777777" w:rsidR="00A30278" w:rsidRPr="00293895" w:rsidRDefault="008B5A92" w:rsidP="0063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3.3.5.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Tenant shall be responsible for the i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 operation of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premises in accordance with the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responsibility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delineation.</w:t>
            </w:r>
          </w:p>
        </w:tc>
      </w:tr>
      <w:tr w:rsidR="00410FB0" w:rsidRPr="00293895" w14:paraId="51F1AF0B" w14:textId="77777777" w:rsidTr="00B12E1E">
        <w:trPr>
          <w:trHeight w:val="28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29B5" w14:textId="0418AD50" w:rsidR="00FA04D1" w:rsidRPr="00293895" w:rsidRDefault="00B12E1E" w:rsidP="00324016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bookmarkStart w:id="11" w:name="_Toc26890298"/>
            <w:r w:rsidRPr="00B12E1E">
              <w:rPr>
                <w:color w:val="000000"/>
                <w:sz w:val="28"/>
                <w:szCs w:val="28"/>
                <w:lang w:val="en-US"/>
              </w:rPr>
              <w:t>Subsection 3.4 Confidentiality</w:t>
            </w:r>
            <w:bookmarkEnd w:id="11"/>
          </w:p>
          <w:p w14:paraId="0D6E0CE7" w14:textId="779EA951" w:rsidR="00410FB0" w:rsidRPr="00293895" w:rsidRDefault="00410FB0" w:rsidP="004B3484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B0" w:rsidRPr="00293895" w14:paraId="6B015BC4" w14:textId="77777777" w:rsidTr="00410FB0">
        <w:trPr>
          <w:trHeight w:val="1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A85" w14:textId="77777777" w:rsidR="00410FB0" w:rsidRPr="00293895" w:rsidRDefault="00142E5C" w:rsidP="00527D03">
            <w:pPr>
              <w:jc w:val="both"/>
              <w:rPr>
                <w:color w:val="000000"/>
                <w:sz w:val="28"/>
                <w:szCs w:val="28"/>
              </w:rPr>
            </w:pPr>
            <w:r w:rsidRPr="00293895">
              <w:rPr>
                <w:color w:val="000000"/>
                <w:sz w:val="28"/>
                <w:szCs w:val="28"/>
                <w:lang w:val="en-US"/>
              </w:rPr>
              <w:t xml:space="preserve">Not </w:t>
            </w:r>
            <w:r w:rsidR="00527D03">
              <w:rPr>
                <w:color w:val="000000"/>
                <w:sz w:val="28"/>
                <w:szCs w:val="28"/>
                <w:lang w:val="en-US"/>
              </w:rPr>
              <w:t>applicable</w:t>
            </w:r>
          </w:p>
        </w:tc>
      </w:tr>
      <w:tr w:rsidR="00410FB0" w:rsidRPr="00286BE4" w14:paraId="6DE52730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36D" w14:textId="77777777" w:rsidR="00410FB0" w:rsidRPr="00293895" w:rsidRDefault="008A1428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2" w:name="_Toc26890299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Subsection 3.5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ervice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Safety and Service Result Safety</w:t>
            </w:r>
            <w:bookmarkEnd w:id="12"/>
          </w:p>
        </w:tc>
      </w:tr>
      <w:tr w:rsidR="00410FB0" w:rsidRPr="00286BE4" w14:paraId="00B70E7C" w14:textId="77777777" w:rsidTr="00410FB0">
        <w:trPr>
          <w:trHeight w:val="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E4B" w14:textId="77777777" w:rsidR="00FA04D1" w:rsidRPr="00293895" w:rsidRDefault="00405AC0" w:rsidP="003F453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 the event of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 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accident resulting in deterioration of the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rented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premises, the L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andlord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shall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provide the necessary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assistance in eliminating the accident consequences provided this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accident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has not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occurred through the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Tenant’s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fault. The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Landlord shall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ensure compliance with the </w:t>
            </w:r>
            <w:r w:rsidR="003F4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requirements of health and safety,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fire safety</w:t>
            </w:r>
            <w:r w:rsidR="003F4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regulations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by the 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employees involved in the 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service-related work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The 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premises are to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be equipped with automatic fire alarm system, sprinkler system (or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have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necessary number of </w:t>
            </w:r>
            <w:r w:rsidR="00D735BE"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fire hose cabinets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fire alarm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ystem and escape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lighting.</w:t>
            </w:r>
          </w:p>
        </w:tc>
      </w:tr>
      <w:tr w:rsidR="00410FB0" w:rsidRPr="009A4211" w14:paraId="5F31CA69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7928" w14:textId="77777777" w:rsidR="00410FB0" w:rsidRPr="00293895" w:rsidRDefault="008A1428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3" w:name="_Toc26890300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Subsection 3.6 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Customer Training</w:t>
            </w:r>
            <w:bookmarkEnd w:id="13"/>
          </w:p>
        </w:tc>
      </w:tr>
      <w:tr w:rsidR="00410FB0" w:rsidRPr="00293895" w14:paraId="699028D8" w14:textId="77777777" w:rsidTr="00410FB0"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FC42" w14:textId="77777777" w:rsidR="00410FB0" w:rsidRPr="00293895" w:rsidRDefault="00142E5C" w:rsidP="00527D0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93895">
              <w:rPr>
                <w:color w:val="000000"/>
                <w:sz w:val="28"/>
                <w:szCs w:val="28"/>
                <w:lang w:val="en-US"/>
              </w:rPr>
              <w:t xml:space="preserve">Not </w:t>
            </w:r>
            <w:r w:rsidR="00527D03">
              <w:rPr>
                <w:color w:val="000000"/>
                <w:sz w:val="28"/>
                <w:szCs w:val="28"/>
                <w:lang w:val="en-US"/>
              </w:rPr>
              <w:t>applicable</w:t>
            </w:r>
          </w:p>
        </w:tc>
      </w:tr>
      <w:tr w:rsidR="00410FB0" w:rsidRPr="00286BE4" w14:paraId="17C31B78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CF14" w14:textId="77777777" w:rsidR="00410FB0" w:rsidRPr="00293895" w:rsidRDefault="008A1428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4" w:name="_Toc26890301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Subsection 3.7 </w:t>
            </w:r>
            <w:r w:rsidR="00D735B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Requirements for 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Technical P</w:t>
            </w:r>
            <w:r w:rsidR="00D735B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roposal</w:t>
            </w:r>
            <w:bookmarkEnd w:id="14"/>
          </w:p>
        </w:tc>
      </w:tr>
      <w:tr w:rsidR="00410FB0" w:rsidRPr="00286BE4" w14:paraId="5B70C8A8" w14:textId="77777777" w:rsidTr="00410FB0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7EF8" w14:textId="77777777" w:rsidR="00410FB0" w:rsidRPr="00293895" w:rsidRDefault="008A1428" w:rsidP="0004137D">
            <w:pPr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293895">
              <w:rPr>
                <w:spacing w:val="-2"/>
                <w:sz w:val="28"/>
                <w:szCs w:val="28"/>
                <w:lang w:val="en-US"/>
              </w:rPr>
              <w:t>According to the procurement documentation</w:t>
            </w:r>
            <w:r w:rsidR="00410FB0" w:rsidRPr="00293895">
              <w:rPr>
                <w:spacing w:val="-2"/>
                <w:sz w:val="28"/>
                <w:szCs w:val="28"/>
                <w:lang w:val="en-US"/>
              </w:rPr>
              <w:t>.</w:t>
            </w:r>
          </w:p>
        </w:tc>
      </w:tr>
      <w:tr w:rsidR="00410FB0" w:rsidRPr="00293895" w14:paraId="290F91D3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462" w14:textId="77777777" w:rsidR="00410FB0" w:rsidRPr="00293895" w:rsidRDefault="00E03920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5" w:name="_Toc26890302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Subsection 3.8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equirements</w:t>
            </w:r>
            <w:bookmarkEnd w:id="15"/>
          </w:p>
        </w:tc>
      </w:tr>
      <w:tr w:rsidR="00410FB0" w:rsidRPr="00286BE4" w14:paraId="79B9F9DB" w14:textId="77777777" w:rsidTr="00410FB0">
        <w:trPr>
          <w:trHeight w:val="1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68C" w14:textId="77777777" w:rsidR="00410FB0" w:rsidRPr="00293895" w:rsidRDefault="00527D03" w:rsidP="00527D03">
            <w:pPr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The Landlord is to be the legal owner of t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>he premises</w:t>
            </w:r>
            <w:r>
              <w:rPr>
                <w:bCs/>
                <w:noProof/>
                <w:sz w:val="28"/>
                <w:szCs w:val="28"/>
                <w:lang w:val="en-US"/>
              </w:rPr>
              <w:t xml:space="preserve"> for rent 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>which is</w:t>
            </w:r>
            <w:r>
              <w:rPr>
                <w:bCs/>
                <w:noProof/>
                <w:sz w:val="28"/>
                <w:szCs w:val="28"/>
                <w:lang w:val="en-US"/>
              </w:rPr>
              <w:t xml:space="preserve"> to be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 xml:space="preserve"> confirmed by a notarized copy of the </w:t>
            </w:r>
            <w:r>
              <w:rPr>
                <w:bCs/>
                <w:noProof/>
                <w:sz w:val="28"/>
                <w:szCs w:val="28"/>
                <w:lang w:val="en-US"/>
              </w:rPr>
              <w:t>appropriate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 xml:space="preserve"> document</w:t>
            </w:r>
            <w:r w:rsidR="00C83890" w:rsidRPr="00293895">
              <w:rPr>
                <w:bCs/>
                <w:noProof/>
                <w:sz w:val="28"/>
                <w:szCs w:val="28"/>
                <w:lang w:val="en-US"/>
              </w:rPr>
              <w:t>.</w:t>
            </w:r>
          </w:p>
        </w:tc>
      </w:tr>
    </w:tbl>
    <w:p w14:paraId="6EB32DF5" w14:textId="77777777" w:rsidR="00E03920" w:rsidRPr="00411A18" w:rsidRDefault="00E03920" w:rsidP="0018149D">
      <w:pPr>
        <w:pStyle w:val="1"/>
        <w:numPr>
          <w:ilvl w:val="0"/>
          <w:numId w:val="0"/>
        </w:numPr>
        <w:jc w:val="center"/>
        <w:outlineLvl w:val="0"/>
        <w:rPr>
          <w:lang w:val="en-US"/>
        </w:rPr>
      </w:pPr>
      <w:bookmarkStart w:id="16" w:name="_Toc26890303"/>
      <w:r w:rsidRPr="00411A18">
        <w:rPr>
          <w:lang w:val="en-US"/>
        </w:rPr>
        <w:t xml:space="preserve">SECTION 4. </w:t>
      </w:r>
      <w:r w:rsidR="00527D03">
        <w:rPr>
          <w:lang w:val="en-US"/>
        </w:rPr>
        <w:t xml:space="preserve">SERVICE </w:t>
      </w:r>
      <w:r w:rsidRPr="00411A18">
        <w:rPr>
          <w:lang w:val="en-US"/>
        </w:rPr>
        <w:t>RESULTS</w:t>
      </w:r>
      <w:bookmarkEnd w:id="16"/>
    </w:p>
    <w:p w14:paraId="6AF70351" w14:textId="77777777" w:rsidR="00410FB0" w:rsidRPr="00D735BE" w:rsidRDefault="00410FB0" w:rsidP="00410FB0">
      <w:pPr>
        <w:keepNext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9A4211" w14:paraId="005C5B86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23D" w14:textId="77777777" w:rsidR="00410FB0" w:rsidRPr="00293895" w:rsidRDefault="00E03920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7" w:name="_Toc26890304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4.1 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Results</w:t>
            </w:r>
            <w:bookmarkEnd w:id="17"/>
          </w:p>
        </w:tc>
      </w:tr>
      <w:tr w:rsidR="00410FB0" w:rsidRPr="00286BE4" w14:paraId="323B15BD" w14:textId="77777777" w:rsidTr="00410FB0">
        <w:trPr>
          <w:trHeight w:val="7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397" w14:textId="0619B8EF" w:rsidR="00410FB0" w:rsidRPr="00293895" w:rsidRDefault="00D735BE" w:rsidP="00A81FF1">
            <w:pPr>
              <w:jc w:val="both"/>
              <w:rPr>
                <w:sz w:val="28"/>
                <w:szCs w:val="28"/>
                <w:highlight w:val="lightGray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>The L</w:t>
            </w:r>
            <w:r w:rsidR="00527D03">
              <w:rPr>
                <w:sz w:val="28"/>
                <w:szCs w:val="28"/>
                <w:lang w:val="en-US"/>
              </w:rPr>
              <w:t xml:space="preserve">andlord shall let the </w:t>
            </w:r>
            <w:r w:rsidRPr="00293895">
              <w:rPr>
                <w:sz w:val="28"/>
                <w:szCs w:val="28"/>
                <w:lang w:val="en-US"/>
              </w:rPr>
              <w:t>office premises</w:t>
            </w:r>
            <w:r w:rsidR="00527D03">
              <w:rPr>
                <w:sz w:val="28"/>
                <w:szCs w:val="28"/>
                <w:lang w:val="en-US"/>
              </w:rPr>
              <w:t xml:space="preserve"> according to the Terms of Reference for rent</w:t>
            </w:r>
            <w:r w:rsidR="00A045CD">
              <w:rPr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sz w:val="28"/>
                <w:szCs w:val="28"/>
                <w:lang w:val="en-US"/>
              </w:rPr>
              <w:t>to the Tenant</w:t>
            </w:r>
            <w:r w:rsidRPr="00293895">
              <w:rPr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sz w:val="28"/>
                <w:szCs w:val="28"/>
                <w:lang w:val="en-US"/>
              </w:rPr>
              <w:t>within the period specified in the rent agreement</w:t>
            </w:r>
            <w:r w:rsidR="00A045CD">
              <w:rPr>
                <w:sz w:val="28"/>
                <w:szCs w:val="28"/>
                <w:lang w:val="en-US"/>
              </w:rPr>
              <w:t xml:space="preserve"> but </w:t>
            </w:r>
            <w:r w:rsidR="00A045CD" w:rsidRPr="00A045CD">
              <w:rPr>
                <w:sz w:val="28"/>
                <w:szCs w:val="28"/>
                <w:lang w:val="en-US"/>
              </w:rPr>
              <w:t xml:space="preserve">not later than </w:t>
            </w:r>
            <w:r w:rsidR="00B12E1E">
              <w:rPr>
                <w:sz w:val="28"/>
                <w:szCs w:val="28"/>
                <w:lang w:val="en-US"/>
              </w:rPr>
              <w:t>0</w:t>
            </w:r>
            <w:r w:rsidR="001C2FBB">
              <w:rPr>
                <w:sz w:val="28"/>
                <w:szCs w:val="28"/>
                <w:lang w:val="en-US"/>
              </w:rPr>
              <w:t>9</w:t>
            </w:r>
            <w:r w:rsidR="0018149D">
              <w:rPr>
                <w:sz w:val="28"/>
                <w:szCs w:val="28"/>
                <w:lang w:val="en-US"/>
              </w:rPr>
              <w:t>.</w:t>
            </w:r>
            <w:r w:rsidR="00B12E1E">
              <w:rPr>
                <w:sz w:val="28"/>
                <w:szCs w:val="28"/>
                <w:lang w:val="en-US"/>
              </w:rPr>
              <w:t>0</w:t>
            </w:r>
            <w:r w:rsidR="00A81FF1" w:rsidRPr="00F56FE7">
              <w:rPr>
                <w:sz w:val="28"/>
                <w:szCs w:val="28"/>
                <w:lang w:val="en-US"/>
              </w:rPr>
              <w:t>2</w:t>
            </w:r>
            <w:r w:rsidR="0018149D">
              <w:rPr>
                <w:sz w:val="28"/>
                <w:szCs w:val="28"/>
                <w:lang w:val="en-US"/>
              </w:rPr>
              <w:t>.</w:t>
            </w:r>
            <w:r w:rsidR="00A045CD" w:rsidRPr="00A045CD">
              <w:rPr>
                <w:sz w:val="28"/>
                <w:szCs w:val="28"/>
                <w:lang w:val="en-US"/>
              </w:rPr>
              <w:t>20</w:t>
            </w:r>
            <w:r w:rsidR="001C2FBB">
              <w:rPr>
                <w:sz w:val="28"/>
                <w:szCs w:val="28"/>
                <w:lang w:val="en-US"/>
              </w:rPr>
              <w:t>21</w:t>
            </w:r>
            <w:r w:rsidR="00527D03">
              <w:rPr>
                <w:sz w:val="28"/>
                <w:szCs w:val="28"/>
                <w:lang w:val="en-US"/>
              </w:rPr>
              <w:t>; and ensure unconditional</w:t>
            </w:r>
            <w:r w:rsidR="008F4059" w:rsidRPr="00293895">
              <w:rPr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sz w:val="28"/>
                <w:szCs w:val="28"/>
                <w:lang w:val="en-US"/>
              </w:rPr>
              <w:t>compliance with the agreement provisions</w:t>
            </w:r>
            <w:r w:rsidRPr="00293895">
              <w:rPr>
                <w:sz w:val="28"/>
                <w:szCs w:val="28"/>
                <w:lang w:val="en-US"/>
              </w:rPr>
              <w:t xml:space="preserve">. </w:t>
            </w:r>
            <w:r w:rsidR="003F4533">
              <w:rPr>
                <w:sz w:val="28"/>
                <w:szCs w:val="28"/>
                <w:lang w:val="en-US"/>
              </w:rPr>
              <w:t>The p</w:t>
            </w:r>
            <w:r w:rsidRPr="00293895">
              <w:rPr>
                <w:sz w:val="28"/>
                <w:szCs w:val="28"/>
                <w:lang w:val="en-US"/>
              </w:rPr>
              <w:t xml:space="preserve">remises are </w:t>
            </w:r>
            <w:r w:rsidR="003F4533">
              <w:rPr>
                <w:sz w:val="28"/>
                <w:szCs w:val="28"/>
                <w:lang w:val="en-US"/>
              </w:rPr>
              <w:t>to be let</w:t>
            </w:r>
            <w:r w:rsidRPr="00293895">
              <w:rPr>
                <w:sz w:val="28"/>
                <w:szCs w:val="28"/>
                <w:lang w:val="en-US"/>
              </w:rPr>
              <w:t xml:space="preserve"> for rent for </w:t>
            </w:r>
            <w:r w:rsidR="001C2FBB">
              <w:rPr>
                <w:sz w:val="28"/>
                <w:szCs w:val="28"/>
                <w:lang w:val="en-US"/>
              </w:rPr>
              <w:t>12</w:t>
            </w:r>
            <w:r w:rsidR="00A81FF1" w:rsidRPr="00293895">
              <w:rPr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sz w:val="28"/>
                <w:szCs w:val="28"/>
                <w:lang w:val="en-US"/>
              </w:rPr>
              <w:t xml:space="preserve">months from the date of the </w:t>
            </w:r>
            <w:r w:rsidR="0018149D">
              <w:rPr>
                <w:sz w:val="28"/>
                <w:szCs w:val="28"/>
                <w:lang w:val="en-US"/>
              </w:rPr>
              <w:t>signed lease agreement.</w:t>
            </w:r>
          </w:p>
        </w:tc>
      </w:tr>
      <w:tr w:rsidR="00410FB0" w:rsidRPr="00A045CD" w14:paraId="530F209D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9836" w14:textId="77777777" w:rsidR="00410FB0" w:rsidRPr="00293895" w:rsidRDefault="00E03920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8" w:name="_Toc26890305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4.2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Acceptance</w:t>
            </w:r>
            <w:bookmarkEnd w:id="18"/>
          </w:p>
        </w:tc>
      </w:tr>
      <w:tr w:rsidR="00410FB0" w:rsidRPr="00773CB3" w14:paraId="212DABA4" w14:textId="77777777" w:rsidTr="00B12E1E">
        <w:trPr>
          <w:trHeight w:val="3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0E71" w14:textId="34DD9A2F" w:rsidR="00311F34" w:rsidRPr="00293895" w:rsidRDefault="00B12E1E" w:rsidP="00181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t xml:space="preserve"> </w:t>
            </w:r>
            <w:r w:rsidRPr="00B12E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According to the agreement</w:t>
            </w:r>
            <w:r w:rsidRPr="00B12E1E" w:rsidDel="00B12E1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10FB0" w:rsidRPr="009A4211" w14:paraId="683A6B6F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F4AD" w14:textId="77777777" w:rsidR="00410FB0" w:rsidRPr="00293895" w:rsidRDefault="006D708C" w:rsidP="00B12E1E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9" w:name="_Toc26890306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4.3 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Deliverables</w:t>
            </w:r>
            <w:bookmarkEnd w:id="19"/>
          </w:p>
        </w:tc>
      </w:tr>
      <w:tr w:rsidR="00410FB0" w:rsidRPr="00B24DFF" w14:paraId="52B5F311" w14:textId="77777777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7251" w14:textId="77777777" w:rsidR="0018149D" w:rsidRPr="00293895" w:rsidRDefault="0018149D" w:rsidP="0018149D">
            <w:pPr>
              <w:pStyle w:val="32"/>
              <w:tabs>
                <w:tab w:val="left" w:pos="70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814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According to the agreement</w:t>
            </w:r>
          </w:p>
          <w:p w14:paraId="248663F8" w14:textId="77777777" w:rsidR="00C53A82" w:rsidRPr="00293895" w:rsidRDefault="00C53A82" w:rsidP="00F56FE7">
            <w:pPr>
              <w:pStyle w:val="32"/>
              <w:tabs>
                <w:tab w:val="left" w:pos="708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293AA214" w14:textId="77777777" w:rsidR="00410FB0" w:rsidRPr="00293895" w:rsidRDefault="00410FB0" w:rsidP="00410FB0">
      <w:pPr>
        <w:jc w:val="center"/>
        <w:rPr>
          <w:b/>
          <w:color w:val="000000"/>
          <w:sz w:val="28"/>
          <w:szCs w:val="28"/>
          <w:lang w:val="en-US"/>
        </w:rPr>
      </w:pPr>
    </w:p>
    <w:p w14:paraId="49689702" w14:textId="77777777" w:rsidR="00C31C09" w:rsidRPr="00C7596F" w:rsidRDefault="00C31C09" w:rsidP="0018149D">
      <w:pPr>
        <w:pStyle w:val="1"/>
        <w:numPr>
          <w:ilvl w:val="0"/>
          <w:numId w:val="0"/>
        </w:numPr>
        <w:jc w:val="center"/>
        <w:outlineLvl w:val="0"/>
        <w:rPr>
          <w:color w:val="000000"/>
          <w:lang w:val="en-US"/>
        </w:rPr>
      </w:pPr>
      <w:bookmarkStart w:id="20" w:name="_Toc26890307"/>
      <w:r w:rsidRPr="00C83890">
        <w:rPr>
          <w:lang w:val="en-US"/>
        </w:rPr>
        <w:t>SECTION</w:t>
      </w:r>
      <w:r w:rsidRPr="00C83890">
        <w:rPr>
          <w:color w:val="000000"/>
          <w:lang w:val="en-US"/>
        </w:rPr>
        <w:t xml:space="preserve"> 5. </w:t>
      </w:r>
      <w:r w:rsidR="0078562C">
        <w:rPr>
          <w:color w:val="000000"/>
          <w:lang w:val="en-US"/>
        </w:rPr>
        <w:t>CUSTOMER TECHNICAL TRAINING</w:t>
      </w:r>
      <w:bookmarkEnd w:id="20"/>
    </w:p>
    <w:p w14:paraId="4C75F4FA" w14:textId="77777777" w:rsidR="00410FB0" w:rsidRPr="00C31C09" w:rsidRDefault="00410FB0" w:rsidP="00410FB0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1"/>
      </w:tblGrid>
      <w:tr w:rsidR="007A72FB" w14:paraId="1F9D5718" w14:textId="77777777" w:rsidTr="007A72FB">
        <w:trPr>
          <w:trHeight w:val="301"/>
        </w:trPr>
        <w:tc>
          <w:tcPr>
            <w:tcW w:w="9661" w:type="dxa"/>
          </w:tcPr>
          <w:p w14:paraId="6443FF13" w14:textId="77777777" w:rsidR="007A72FB" w:rsidRDefault="0078562C" w:rsidP="00731F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Not applicable</w:t>
            </w:r>
          </w:p>
        </w:tc>
      </w:tr>
    </w:tbl>
    <w:p w14:paraId="7222E95D" w14:textId="77777777" w:rsidR="00410FB0" w:rsidRPr="0062325F" w:rsidRDefault="00410FB0" w:rsidP="00410FB0">
      <w:pPr>
        <w:jc w:val="center"/>
        <w:rPr>
          <w:color w:val="000000"/>
          <w:sz w:val="28"/>
          <w:szCs w:val="28"/>
        </w:rPr>
      </w:pPr>
    </w:p>
    <w:p w14:paraId="405F9716" w14:textId="77777777" w:rsidR="00C31C09" w:rsidRPr="00293895" w:rsidRDefault="005114E6" w:rsidP="0018149D">
      <w:pPr>
        <w:pStyle w:val="1"/>
        <w:numPr>
          <w:ilvl w:val="0"/>
          <w:numId w:val="0"/>
        </w:numPr>
        <w:jc w:val="center"/>
        <w:outlineLvl w:val="0"/>
        <w:rPr>
          <w:lang w:val="en-US"/>
        </w:rPr>
      </w:pPr>
      <w:bookmarkStart w:id="21" w:name="_Toc26890308"/>
      <w:r w:rsidRPr="00293895">
        <w:rPr>
          <w:szCs w:val="28"/>
          <w:lang w:val="en-US"/>
        </w:rPr>
        <w:t>SECTION</w:t>
      </w:r>
      <w:r w:rsidRPr="00293895">
        <w:rPr>
          <w:lang w:val="en-US"/>
        </w:rPr>
        <w:t xml:space="preserve"> 6. </w:t>
      </w:r>
      <w:r w:rsidR="00293895" w:rsidRPr="00293895">
        <w:rPr>
          <w:lang w:val="en-US"/>
        </w:rPr>
        <w:t>ABBREVIATIONS</w:t>
      </w:r>
      <w:bookmarkEnd w:id="21"/>
    </w:p>
    <w:p w14:paraId="2E33FC0A" w14:textId="77777777" w:rsidR="00410FB0" w:rsidRPr="000507B8" w:rsidRDefault="00410FB0" w:rsidP="00410FB0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971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7A72FB" w14:paraId="3796FC1C" w14:textId="77777777" w:rsidTr="007A72FB">
        <w:trPr>
          <w:trHeight w:val="352"/>
        </w:trPr>
        <w:tc>
          <w:tcPr>
            <w:tcW w:w="9712" w:type="dxa"/>
          </w:tcPr>
          <w:p w14:paraId="1B58C555" w14:textId="77777777" w:rsidR="007A72FB" w:rsidRDefault="0078562C" w:rsidP="00731F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Not applicable</w:t>
            </w:r>
          </w:p>
        </w:tc>
      </w:tr>
    </w:tbl>
    <w:p w14:paraId="36529AC9" w14:textId="77777777" w:rsidR="00410FB0" w:rsidRPr="0062325F" w:rsidRDefault="00410FB0" w:rsidP="00410FB0">
      <w:pPr>
        <w:ind w:firstLine="567"/>
        <w:jc w:val="both"/>
        <w:rPr>
          <w:color w:val="000000"/>
          <w:sz w:val="28"/>
          <w:szCs w:val="28"/>
        </w:rPr>
      </w:pPr>
    </w:p>
    <w:p w14:paraId="1A08D7FB" w14:textId="77777777" w:rsidR="005114E6" w:rsidRDefault="005114E6" w:rsidP="0018149D">
      <w:pPr>
        <w:pStyle w:val="1"/>
        <w:numPr>
          <w:ilvl w:val="0"/>
          <w:numId w:val="0"/>
        </w:numPr>
        <w:jc w:val="center"/>
        <w:outlineLvl w:val="0"/>
      </w:pPr>
      <w:bookmarkStart w:id="22" w:name="_Toc26890309"/>
      <w:r w:rsidRPr="00B146CD">
        <w:rPr>
          <w:szCs w:val="28"/>
          <w:lang w:val="en-US"/>
        </w:rPr>
        <w:t>SECTION</w:t>
      </w:r>
      <w:r w:rsidRPr="00B146CD">
        <w:rPr>
          <w:lang w:val="en-US"/>
        </w:rPr>
        <w:t xml:space="preserve"> 7. </w:t>
      </w:r>
      <w:r w:rsidR="00293895">
        <w:rPr>
          <w:lang w:val="en-US"/>
        </w:rPr>
        <w:t>ANNEXES</w:t>
      </w:r>
      <w:bookmarkEnd w:id="22"/>
    </w:p>
    <w:p w14:paraId="60526C2F" w14:textId="77777777" w:rsidR="005114E6" w:rsidRPr="005114E6" w:rsidRDefault="005114E6" w:rsidP="005114E6">
      <w:pPr>
        <w:jc w:val="center"/>
        <w:rPr>
          <w:color w:val="000000"/>
          <w:sz w:val="28"/>
        </w:rPr>
      </w:pPr>
    </w:p>
    <w:p w14:paraId="550D2329" w14:textId="77777777" w:rsidR="00D36ACE" w:rsidRDefault="00293895" w:rsidP="00410FB0">
      <w:pPr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Not </w:t>
      </w:r>
      <w:r w:rsidR="0078562C">
        <w:rPr>
          <w:color w:val="000000"/>
          <w:sz w:val="28"/>
          <w:szCs w:val="28"/>
          <w:lang w:val="en-US"/>
        </w:rPr>
        <w:t>applicable</w:t>
      </w:r>
      <w:r w:rsidRPr="0062325F">
        <w:rPr>
          <w:color w:val="000000"/>
          <w:sz w:val="28"/>
          <w:szCs w:val="28"/>
        </w:rPr>
        <w:t>.</w:t>
      </w:r>
    </w:p>
    <w:p w14:paraId="740ABECC" w14:textId="77777777" w:rsidR="005114E6" w:rsidRPr="00293895" w:rsidRDefault="005114E6" w:rsidP="00410FB0">
      <w:pPr>
        <w:rPr>
          <w:sz w:val="28"/>
          <w:szCs w:val="28"/>
          <w:lang w:val="en-US"/>
        </w:rPr>
      </w:pPr>
    </w:p>
    <w:p w14:paraId="5B468F52" w14:textId="77777777" w:rsidR="0083002C" w:rsidRDefault="0083002C" w:rsidP="002757C5">
      <w:pPr>
        <w:spacing w:before="120"/>
        <w:rPr>
          <w:sz w:val="28"/>
          <w:szCs w:val="28"/>
          <w:lang w:val="en-US"/>
        </w:rPr>
      </w:pPr>
    </w:p>
    <w:sectPr w:rsidR="008300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2428" w14:textId="77777777" w:rsidR="0099041E" w:rsidRDefault="0099041E" w:rsidP="00293895">
      <w:r>
        <w:separator/>
      </w:r>
    </w:p>
  </w:endnote>
  <w:endnote w:type="continuationSeparator" w:id="0">
    <w:p w14:paraId="467B11BE" w14:textId="77777777" w:rsidR="0099041E" w:rsidRDefault="0099041E" w:rsidP="002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776136"/>
      <w:docPartObj>
        <w:docPartGallery w:val="Page Numbers (Bottom of Page)"/>
        <w:docPartUnique/>
      </w:docPartObj>
    </w:sdtPr>
    <w:sdtEndPr/>
    <w:sdtContent>
      <w:p w14:paraId="391884AF" w14:textId="77371595" w:rsidR="00686587" w:rsidRDefault="0068658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E4">
          <w:rPr>
            <w:noProof/>
          </w:rPr>
          <w:t>7</w:t>
        </w:r>
        <w:r>
          <w:fldChar w:fldCharType="end"/>
        </w:r>
      </w:p>
    </w:sdtContent>
  </w:sdt>
  <w:p w14:paraId="7CA7078F" w14:textId="77777777" w:rsidR="00686587" w:rsidRDefault="0068658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4CB4" w14:textId="77777777" w:rsidR="0099041E" w:rsidRDefault="0099041E" w:rsidP="00293895">
      <w:r>
        <w:separator/>
      </w:r>
    </w:p>
  </w:footnote>
  <w:footnote w:type="continuationSeparator" w:id="0">
    <w:p w14:paraId="114EF7EA" w14:textId="77777777" w:rsidR="0099041E" w:rsidRDefault="0099041E" w:rsidP="0029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791"/>
    <w:multiLevelType w:val="hybridMultilevel"/>
    <w:tmpl w:val="F3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036"/>
    <w:multiLevelType w:val="hybridMultilevel"/>
    <w:tmpl w:val="2BD847AC"/>
    <w:lvl w:ilvl="0" w:tplc="55AC2C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1E8134C"/>
    <w:multiLevelType w:val="hybridMultilevel"/>
    <w:tmpl w:val="985A2962"/>
    <w:lvl w:ilvl="0" w:tplc="6B30AE34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4BF"/>
    <w:multiLevelType w:val="hybridMultilevel"/>
    <w:tmpl w:val="1046A070"/>
    <w:lvl w:ilvl="0" w:tplc="79C4BA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78D"/>
    <w:multiLevelType w:val="hybridMultilevel"/>
    <w:tmpl w:val="43CEC6F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FA82C49"/>
    <w:multiLevelType w:val="multilevel"/>
    <w:tmpl w:val="45FE7858"/>
    <w:lvl w:ilvl="0">
      <w:start w:val="1"/>
      <w:numFmt w:val="decimal"/>
      <w:pStyle w:val="1"/>
      <w:suff w:val="space"/>
      <w:lvlText w:val="%1."/>
      <w:lvlJc w:val="left"/>
      <w:pPr>
        <w:ind w:left="7088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568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0476A8A"/>
    <w:multiLevelType w:val="hybridMultilevel"/>
    <w:tmpl w:val="26669D22"/>
    <w:lvl w:ilvl="0" w:tplc="DE18BE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0D1F"/>
    <w:multiLevelType w:val="hybridMultilevel"/>
    <w:tmpl w:val="30466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C43D6"/>
    <w:multiLevelType w:val="hybridMultilevel"/>
    <w:tmpl w:val="5EBA672C"/>
    <w:lvl w:ilvl="0" w:tplc="55AC2C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2CE9238A"/>
    <w:multiLevelType w:val="hybridMultilevel"/>
    <w:tmpl w:val="8E6ADA66"/>
    <w:lvl w:ilvl="0" w:tplc="06AAEFEC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7237"/>
    <w:multiLevelType w:val="hybridMultilevel"/>
    <w:tmpl w:val="0CAE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1D74"/>
    <w:multiLevelType w:val="hybridMultilevel"/>
    <w:tmpl w:val="507ABC5C"/>
    <w:lvl w:ilvl="0" w:tplc="55AC2C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3AB5993"/>
    <w:multiLevelType w:val="hybridMultilevel"/>
    <w:tmpl w:val="65B8BD3A"/>
    <w:lvl w:ilvl="0" w:tplc="530A15CA">
      <w:start w:val="1"/>
      <w:numFmt w:val="decimal"/>
      <w:lvlText w:val="%1.2.2."/>
      <w:lvlJc w:val="left"/>
      <w:pPr>
        <w:ind w:left="720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5B79"/>
    <w:multiLevelType w:val="hybridMultilevel"/>
    <w:tmpl w:val="E214B472"/>
    <w:lvl w:ilvl="0" w:tplc="83165384">
      <w:start w:val="3"/>
      <w:numFmt w:val="decimal"/>
      <w:lvlText w:val="%1.2.2."/>
      <w:lvlJc w:val="left"/>
      <w:pPr>
        <w:ind w:left="394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143720D"/>
    <w:multiLevelType w:val="hybridMultilevel"/>
    <w:tmpl w:val="48545444"/>
    <w:lvl w:ilvl="0" w:tplc="55AC2C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41229AC"/>
    <w:multiLevelType w:val="hybridMultilevel"/>
    <w:tmpl w:val="BE52E154"/>
    <w:lvl w:ilvl="0" w:tplc="BE2C2388">
      <w:start w:val="3"/>
      <w:numFmt w:val="decimal"/>
      <w:lvlText w:val="%1.2.1."/>
      <w:lvlJc w:val="left"/>
      <w:pPr>
        <w:ind w:left="394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396EFD"/>
    <w:multiLevelType w:val="multilevel"/>
    <w:tmpl w:val="40660E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7" w15:restartNumberingAfterBreak="0">
    <w:nsid w:val="46C65842"/>
    <w:multiLevelType w:val="hybridMultilevel"/>
    <w:tmpl w:val="A0C0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5ACD"/>
    <w:multiLevelType w:val="multilevel"/>
    <w:tmpl w:val="497A2B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51" w:hanging="45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9" w15:restartNumberingAfterBreak="0">
    <w:nsid w:val="4E2761AC"/>
    <w:multiLevelType w:val="hybridMultilevel"/>
    <w:tmpl w:val="BCE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2C9E"/>
    <w:multiLevelType w:val="hybridMultilevel"/>
    <w:tmpl w:val="C5CE1FD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 w15:restartNumberingAfterBreak="0">
    <w:nsid w:val="55E624C6"/>
    <w:multiLevelType w:val="hybridMultilevel"/>
    <w:tmpl w:val="F95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20C8"/>
    <w:multiLevelType w:val="hybridMultilevel"/>
    <w:tmpl w:val="8BD29D94"/>
    <w:lvl w:ilvl="0" w:tplc="CA76A7FA">
      <w:start w:val="1"/>
      <w:numFmt w:val="decimal"/>
      <w:lvlText w:val="%1.2.1."/>
      <w:lvlJc w:val="left"/>
      <w:pPr>
        <w:ind w:left="720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26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005A0C"/>
    <w:multiLevelType w:val="hybridMultilevel"/>
    <w:tmpl w:val="80D636F8"/>
    <w:lvl w:ilvl="0" w:tplc="55AC2C6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 w15:restartNumberingAfterBreak="0">
    <w:nsid w:val="686E12F4"/>
    <w:multiLevelType w:val="hybridMultilevel"/>
    <w:tmpl w:val="11146D94"/>
    <w:lvl w:ilvl="0" w:tplc="3410A8DA">
      <w:start w:val="3"/>
      <w:numFmt w:val="decimal"/>
      <w:lvlText w:val="%1.2.3."/>
      <w:lvlJc w:val="left"/>
      <w:pPr>
        <w:ind w:left="394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66CA"/>
    <w:multiLevelType w:val="hybridMultilevel"/>
    <w:tmpl w:val="9DC869E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B8118D"/>
    <w:multiLevelType w:val="hybridMultilevel"/>
    <w:tmpl w:val="36BA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B052D"/>
    <w:multiLevelType w:val="hybridMultilevel"/>
    <w:tmpl w:val="7A7424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11"/>
  </w:num>
  <w:num w:numId="10">
    <w:abstractNumId w:val="24"/>
  </w:num>
  <w:num w:numId="11">
    <w:abstractNumId w:val="16"/>
  </w:num>
  <w:num w:numId="12">
    <w:abstractNumId w:val="18"/>
  </w:num>
  <w:num w:numId="13">
    <w:abstractNumId w:val="4"/>
  </w:num>
  <w:num w:numId="14">
    <w:abstractNumId w:val="17"/>
  </w:num>
  <w:num w:numId="15">
    <w:abstractNumId w:val="7"/>
  </w:num>
  <w:num w:numId="16">
    <w:abstractNumId w:val="23"/>
  </w:num>
  <w:num w:numId="17">
    <w:abstractNumId w:val="26"/>
  </w:num>
  <w:num w:numId="18">
    <w:abstractNumId w:val="27"/>
  </w:num>
  <w:num w:numId="19">
    <w:abstractNumId w:val="21"/>
  </w:num>
  <w:num w:numId="20">
    <w:abstractNumId w:val="0"/>
  </w:num>
  <w:num w:numId="21">
    <w:abstractNumId w:val="19"/>
  </w:num>
  <w:num w:numId="22">
    <w:abstractNumId w:val="22"/>
  </w:num>
  <w:num w:numId="23">
    <w:abstractNumId w:val="15"/>
  </w:num>
  <w:num w:numId="24">
    <w:abstractNumId w:val="28"/>
  </w:num>
  <w:num w:numId="25">
    <w:abstractNumId w:val="12"/>
  </w:num>
  <w:num w:numId="26">
    <w:abstractNumId w:val="13"/>
  </w:num>
  <w:num w:numId="27">
    <w:abstractNumId w:val="25"/>
  </w:num>
  <w:num w:numId="28">
    <w:abstractNumId w:val="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B0"/>
    <w:rsid w:val="000331F6"/>
    <w:rsid w:val="00036EA2"/>
    <w:rsid w:val="0004137D"/>
    <w:rsid w:val="000507B8"/>
    <w:rsid w:val="00052896"/>
    <w:rsid w:val="00055993"/>
    <w:rsid w:val="00063DC8"/>
    <w:rsid w:val="00065D07"/>
    <w:rsid w:val="0007456C"/>
    <w:rsid w:val="000A223A"/>
    <w:rsid w:val="000A6AF9"/>
    <w:rsid w:val="000C186A"/>
    <w:rsid w:val="000C3750"/>
    <w:rsid w:val="000D7614"/>
    <w:rsid w:val="000E0255"/>
    <w:rsid w:val="001173EC"/>
    <w:rsid w:val="00130C89"/>
    <w:rsid w:val="0013134A"/>
    <w:rsid w:val="00132324"/>
    <w:rsid w:val="00136071"/>
    <w:rsid w:val="0014208A"/>
    <w:rsid w:val="00142E5C"/>
    <w:rsid w:val="001565FD"/>
    <w:rsid w:val="001608F3"/>
    <w:rsid w:val="001617EA"/>
    <w:rsid w:val="00167829"/>
    <w:rsid w:val="001712CE"/>
    <w:rsid w:val="001722E7"/>
    <w:rsid w:val="0017315F"/>
    <w:rsid w:val="00177463"/>
    <w:rsid w:val="0018149D"/>
    <w:rsid w:val="00183132"/>
    <w:rsid w:val="00187EFE"/>
    <w:rsid w:val="00196EBB"/>
    <w:rsid w:val="001979C8"/>
    <w:rsid w:val="001C2FBB"/>
    <w:rsid w:val="001D6860"/>
    <w:rsid w:val="001D7651"/>
    <w:rsid w:val="001E2017"/>
    <w:rsid w:val="001E7390"/>
    <w:rsid w:val="001F22E3"/>
    <w:rsid w:val="001F2399"/>
    <w:rsid w:val="001F58C2"/>
    <w:rsid w:val="00201B4C"/>
    <w:rsid w:val="00226020"/>
    <w:rsid w:val="002273EA"/>
    <w:rsid w:val="00240715"/>
    <w:rsid w:val="002415C4"/>
    <w:rsid w:val="0024391E"/>
    <w:rsid w:val="00260E70"/>
    <w:rsid w:val="002757C5"/>
    <w:rsid w:val="002833EE"/>
    <w:rsid w:val="00286BE4"/>
    <w:rsid w:val="00293895"/>
    <w:rsid w:val="00297B13"/>
    <w:rsid w:val="002B1414"/>
    <w:rsid w:val="002B3EBD"/>
    <w:rsid w:val="002C4CA1"/>
    <w:rsid w:val="002E7CB0"/>
    <w:rsid w:val="00311F34"/>
    <w:rsid w:val="00313112"/>
    <w:rsid w:val="00315642"/>
    <w:rsid w:val="00324016"/>
    <w:rsid w:val="00326E33"/>
    <w:rsid w:val="00330B6D"/>
    <w:rsid w:val="00333CBE"/>
    <w:rsid w:val="0033592A"/>
    <w:rsid w:val="0036170D"/>
    <w:rsid w:val="00363F99"/>
    <w:rsid w:val="003B09F4"/>
    <w:rsid w:val="003B7639"/>
    <w:rsid w:val="003D7890"/>
    <w:rsid w:val="003E7551"/>
    <w:rsid w:val="003F4533"/>
    <w:rsid w:val="003F4E7F"/>
    <w:rsid w:val="004019AD"/>
    <w:rsid w:val="004041E0"/>
    <w:rsid w:val="00405AC0"/>
    <w:rsid w:val="00410FB0"/>
    <w:rsid w:val="004259A5"/>
    <w:rsid w:val="00430D32"/>
    <w:rsid w:val="00451144"/>
    <w:rsid w:val="00465E42"/>
    <w:rsid w:val="00474E89"/>
    <w:rsid w:val="004817CC"/>
    <w:rsid w:val="004A062D"/>
    <w:rsid w:val="004A267B"/>
    <w:rsid w:val="004B0E70"/>
    <w:rsid w:val="004B2DB2"/>
    <w:rsid w:val="004B3484"/>
    <w:rsid w:val="004B4A66"/>
    <w:rsid w:val="004C07E8"/>
    <w:rsid w:val="004C13FD"/>
    <w:rsid w:val="004D5477"/>
    <w:rsid w:val="004D5698"/>
    <w:rsid w:val="004D63B5"/>
    <w:rsid w:val="004E0490"/>
    <w:rsid w:val="005114E6"/>
    <w:rsid w:val="00513332"/>
    <w:rsid w:val="00526043"/>
    <w:rsid w:val="00527D03"/>
    <w:rsid w:val="00527FB0"/>
    <w:rsid w:val="00542291"/>
    <w:rsid w:val="00544247"/>
    <w:rsid w:val="00545CF1"/>
    <w:rsid w:val="00545E8D"/>
    <w:rsid w:val="00550BA2"/>
    <w:rsid w:val="0056169D"/>
    <w:rsid w:val="00564A60"/>
    <w:rsid w:val="005673D1"/>
    <w:rsid w:val="0058011E"/>
    <w:rsid w:val="00584935"/>
    <w:rsid w:val="00592834"/>
    <w:rsid w:val="005929FD"/>
    <w:rsid w:val="0059564C"/>
    <w:rsid w:val="00596464"/>
    <w:rsid w:val="00597258"/>
    <w:rsid w:val="005A7D44"/>
    <w:rsid w:val="005D115A"/>
    <w:rsid w:val="005D5200"/>
    <w:rsid w:val="005D5A66"/>
    <w:rsid w:val="005E639D"/>
    <w:rsid w:val="005F0AFD"/>
    <w:rsid w:val="005F3F5A"/>
    <w:rsid w:val="005F4ED6"/>
    <w:rsid w:val="005F61B0"/>
    <w:rsid w:val="006030D2"/>
    <w:rsid w:val="00606CEC"/>
    <w:rsid w:val="006153F3"/>
    <w:rsid w:val="0061552A"/>
    <w:rsid w:val="00621849"/>
    <w:rsid w:val="00622035"/>
    <w:rsid w:val="0062325F"/>
    <w:rsid w:val="00626C71"/>
    <w:rsid w:val="00630821"/>
    <w:rsid w:val="00646ECF"/>
    <w:rsid w:val="0065289E"/>
    <w:rsid w:val="006717DF"/>
    <w:rsid w:val="0067260A"/>
    <w:rsid w:val="00682287"/>
    <w:rsid w:val="006853B2"/>
    <w:rsid w:val="00686587"/>
    <w:rsid w:val="00687332"/>
    <w:rsid w:val="006968DF"/>
    <w:rsid w:val="006B081D"/>
    <w:rsid w:val="006B082D"/>
    <w:rsid w:val="006B6582"/>
    <w:rsid w:val="006B70E2"/>
    <w:rsid w:val="006C548A"/>
    <w:rsid w:val="006D3A5F"/>
    <w:rsid w:val="006D708C"/>
    <w:rsid w:val="006E4B45"/>
    <w:rsid w:val="006F36E8"/>
    <w:rsid w:val="006F5379"/>
    <w:rsid w:val="006F5947"/>
    <w:rsid w:val="00700673"/>
    <w:rsid w:val="00701E38"/>
    <w:rsid w:val="0070630A"/>
    <w:rsid w:val="0072241F"/>
    <w:rsid w:val="00731FE8"/>
    <w:rsid w:val="007406B9"/>
    <w:rsid w:val="00773CB3"/>
    <w:rsid w:val="0078562C"/>
    <w:rsid w:val="007859E7"/>
    <w:rsid w:val="00796959"/>
    <w:rsid w:val="007A0FE9"/>
    <w:rsid w:val="007A5051"/>
    <w:rsid w:val="007A5426"/>
    <w:rsid w:val="007A72FB"/>
    <w:rsid w:val="007D4218"/>
    <w:rsid w:val="007E26D6"/>
    <w:rsid w:val="007E63C1"/>
    <w:rsid w:val="007E796D"/>
    <w:rsid w:val="00810926"/>
    <w:rsid w:val="00811DF0"/>
    <w:rsid w:val="0083002C"/>
    <w:rsid w:val="00840FF4"/>
    <w:rsid w:val="008421BD"/>
    <w:rsid w:val="00844BFD"/>
    <w:rsid w:val="00851DAB"/>
    <w:rsid w:val="008572BA"/>
    <w:rsid w:val="0086000E"/>
    <w:rsid w:val="008966F6"/>
    <w:rsid w:val="008974C9"/>
    <w:rsid w:val="008A13EB"/>
    <w:rsid w:val="008A1428"/>
    <w:rsid w:val="008A3CFA"/>
    <w:rsid w:val="008B5A92"/>
    <w:rsid w:val="008B5B86"/>
    <w:rsid w:val="008C518B"/>
    <w:rsid w:val="008D134C"/>
    <w:rsid w:val="008D4C4D"/>
    <w:rsid w:val="008E03F5"/>
    <w:rsid w:val="008E7D6F"/>
    <w:rsid w:val="008F4059"/>
    <w:rsid w:val="008F5CE6"/>
    <w:rsid w:val="0090314A"/>
    <w:rsid w:val="009308C6"/>
    <w:rsid w:val="00930F08"/>
    <w:rsid w:val="0094014C"/>
    <w:rsid w:val="00942EF0"/>
    <w:rsid w:val="00946E08"/>
    <w:rsid w:val="00950817"/>
    <w:rsid w:val="00952FB8"/>
    <w:rsid w:val="00953EAC"/>
    <w:rsid w:val="009672C9"/>
    <w:rsid w:val="009852D9"/>
    <w:rsid w:val="009855DD"/>
    <w:rsid w:val="0099041E"/>
    <w:rsid w:val="009A0BE9"/>
    <w:rsid w:val="009A3C36"/>
    <w:rsid w:val="009A4211"/>
    <w:rsid w:val="009B12B5"/>
    <w:rsid w:val="00A00C4B"/>
    <w:rsid w:val="00A045CD"/>
    <w:rsid w:val="00A07913"/>
    <w:rsid w:val="00A255F5"/>
    <w:rsid w:val="00A30278"/>
    <w:rsid w:val="00A35463"/>
    <w:rsid w:val="00A516D6"/>
    <w:rsid w:val="00A67A71"/>
    <w:rsid w:val="00A7053F"/>
    <w:rsid w:val="00A81FF1"/>
    <w:rsid w:val="00A832AE"/>
    <w:rsid w:val="00A83FC7"/>
    <w:rsid w:val="00A841FA"/>
    <w:rsid w:val="00A955A2"/>
    <w:rsid w:val="00AA0A2B"/>
    <w:rsid w:val="00AB069B"/>
    <w:rsid w:val="00AB1836"/>
    <w:rsid w:val="00AD5417"/>
    <w:rsid w:val="00AE39D5"/>
    <w:rsid w:val="00AE63EA"/>
    <w:rsid w:val="00AF3548"/>
    <w:rsid w:val="00B12E1E"/>
    <w:rsid w:val="00B132AC"/>
    <w:rsid w:val="00B146CD"/>
    <w:rsid w:val="00B20D19"/>
    <w:rsid w:val="00B22176"/>
    <w:rsid w:val="00B24DFF"/>
    <w:rsid w:val="00B25229"/>
    <w:rsid w:val="00B276D9"/>
    <w:rsid w:val="00B33AAD"/>
    <w:rsid w:val="00B431D6"/>
    <w:rsid w:val="00B60E66"/>
    <w:rsid w:val="00B632D4"/>
    <w:rsid w:val="00B71D14"/>
    <w:rsid w:val="00B812D9"/>
    <w:rsid w:val="00B87C44"/>
    <w:rsid w:val="00BA5BF4"/>
    <w:rsid w:val="00BB010F"/>
    <w:rsid w:val="00BB1FEF"/>
    <w:rsid w:val="00BB782A"/>
    <w:rsid w:val="00BE2F9B"/>
    <w:rsid w:val="00BE3D55"/>
    <w:rsid w:val="00BF2C30"/>
    <w:rsid w:val="00C20784"/>
    <w:rsid w:val="00C2173C"/>
    <w:rsid w:val="00C31C09"/>
    <w:rsid w:val="00C472C8"/>
    <w:rsid w:val="00C53A82"/>
    <w:rsid w:val="00C57EC7"/>
    <w:rsid w:val="00C65036"/>
    <w:rsid w:val="00C67EF3"/>
    <w:rsid w:val="00C7596F"/>
    <w:rsid w:val="00C76AE2"/>
    <w:rsid w:val="00C83890"/>
    <w:rsid w:val="00C95D89"/>
    <w:rsid w:val="00CA0531"/>
    <w:rsid w:val="00CB11FB"/>
    <w:rsid w:val="00CB127A"/>
    <w:rsid w:val="00CC7A2C"/>
    <w:rsid w:val="00CE054B"/>
    <w:rsid w:val="00CF1282"/>
    <w:rsid w:val="00CF1C3A"/>
    <w:rsid w:val="00CF7F7A"/>
    <w:rsid w:val="00D00D7B"/>
    <w:rsid w:val="00D0390D"/>
    <w:rsid w:val="00D10B32"/>
    <w:rsid w:val="00D10DF4"/>
    <w:rsid w:val="00D22A90"/>
    <w:rsid w:val="00D3244C"/>
    <w:rsid w:val="00D36ACE"/>
    <w:rsid w:val="00D42C9A"/>
    <w:rsid w:val="00D735BE"/>
    <w:rsid w:val="00D81497"/>
    <w:rsid w:val="00DB17A2"/>
    <w:rsid w:val="00DB35C2"/>
    <w:rsid w:val="00DD136E"/>
    <w:rsid w:val="00DE3F39"/>
    <w:rsid w:val="00DE67F1"/>
    <w:rsid w:val="00DF24D1"/>
    <w:rsid w:val="00E0048D"/>
    <w:rsid w:val="00E03920"/>
    <w:rsid w:val="00E12467"/>
    <w:rsid w:val="00E13D97"/>
    <w:rsid w:val="00E32A4F"/>
    <w:rsid w:val="00E56C18"/>
    <w:rsid w:val="00E57ECA"/>
    <w:rsid w:val="00E65D2E"/>
    <w:rsid w:val="00E73B77"/>
    <w:rsid w:val="00E91019"/>
    <w:rsid w:val="00EA5D62"/>
    <w:rsid w:val="00EB06A9"/>
    <w:rsid w:val="00EB5E51"/>
    <w:rsid w:val="00EB7931"/>
    <w:rsid w:val="00ED55E1"/>
    <w:rsid w:val="00ED6C83"/>
    <w:rsid w:val="00EE349B"/>
    <w:rsid w:val="00EF0FEE"/>
    <w:rsid w:val="00F0176C"/>
    <w:rsid w:val="00F0278F"/>
    <w:rsid w:val="00F06496"/>
    <w:rsid w:val="00F24824"/>
    <w:rsid w:val="00F321B1"/>
    <w:rsid w:val="00F32ECA"/>
    <w:rsid w:val="00F362BE"/>
    <w:rsid w:val="00F402EB"/>
    <w:rsid w:val="00F431AB"/>
    <w:rsid w:val="00F43E98"/>
    <w:rsid w:val="00F56FE7"/>
    <w:rsid w:val="00F702EC"/>
    <w:rsid w:val="00F7206A"/>
    <w:rsid w:val="00FA04D1"/>
    <w:rsid w:val="00FD2901"/>
    <w:rsid w:val="00FE223A"/>
    <w:rsid w:val="00FE7E66"/>
    <w:rsid w:val="00FF4C0E"/>
    <w:rsid w:val="00FF649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796D"/>
  <w15:docId w15:val="{B76A1B40-B4A2-48A3-831C-3A93D94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F2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"/>
    <w:next w:val="a"/>
    <w:link w:val="20"/>
    <w:uiPriority w:val="9"/>
    <w:semiHidden/>
    <w:unhideWhenUsed/>
    <w:qFormat/>
    <w:rsid w:val="00410FB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H3"/>
    <w:basedOn w:val="a"/>
    <w:next w:val="a"/>
    <w:link w:val="30"/>
    <w:unhideWhenUsed/>
    <w:qFormat/>
    <w:rsid w:val="00410F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10FB0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uiPriority w:val="9"/>
    <w:semiHidden/>
    <w:rsid w:val="00410FB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"/>
    <w:basedOn w:val="a0"/>
    <w:link w:val="3"/>
    <w:rsid w:val="00410F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10FB0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a3">
    <w:name w:val="Обычный (Интернет) Знак"/>
    <w:aliases w:val="Обычный (Web) Знак,Обычный (веб) Знак Знак Знак,Обычный (Web) Знак Знак Знак Знак,Знак Знак10 Знак"/>
    <w:link w:val="a4"/>
    <w:locked/>
    <w:rsid w:val="00410FB0"/>
    <w:rPr>
      <w:sz w:val="24"/>
      <w:szCs w:val="24"/>
      <w:lang w:val="x-none" w:eastAsia="x-none"/>
    </w:rPr>
  </w:style>
  <w:style w:type="paragraph" w:styleId="a4">
    <w:name w:val="Normal (Web)"/>
    <w:aliases w:val="Обычный (Web),Обычный (веб) Знак Знак,Обычный (Web) Знак Знак Знак,Знак Знак10"/>
    <w:basedOn w:val="a"/>
    <w:link w:val="a3"/>
    <w:unhideWhenUsed/>
    <w:qFormat/>
    <w:rsid w:val="00410FB0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5">
    <w:name w:val="Основной текст Знак"/>
    <w:aliases w:val="Основной текст Знак Знак Знак,Письмо в Интернет Знак"/>
    <w:basedOn w:val="a0"/>
    <w:link w:val="a6"/>
    <w:locked/>
    <w:rsid w:val="00410FB0"/>
    <w:rPr>
      <w:sz w:val="24"/>
      <w:szCs w:val="24"/>
      <w:lang w:val="x-none" w:eastAsia="x-none"/>
    </w:rPr>
  </w:style>
  <w:style w:type="paragraph" w:styleId="a6">
    <w:name w:val="Body Text"/>
    <w:aliases w:val="Основной текст Знак Знак,Письмо в Интернет"/>
    <w:basedOn w:val="a"/>
    <w:link w:val="a5"/>
    <w:unhideWhenUsed/>
    <w:qFormat/>
    <w:rsid w:val="00410FB0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410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Подпись рисунка Знак"/>
    <w:link w:val="a8"/>
    <w:uiPriority w:val="34"/>
    <w:locked/>
    <w:rsid w:val="00410FB0"/>
    <w:rPr>
      <w:rFonts w:ascii="Calibri" w:eastAsia="Calibri" w:hAnsi="Calibri"/>
      <w:lang w:val="x-none"/>
    </w:rPr>
  </w:style>
  <w:style w:type="paragraph" w:styleId="a8">
    <w:name w:val="List Paragraph"/>
    <w:aliases w:val="Подпись рисунка"/>
    <w:basedOn w:val="a"/>
    <w:link w:val="a7"/>
    <w:uiPriority w:val="34"/>
    <w:qFormat/>
    <w:rsid w:val="00410FB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1">
    <w:name w:val="заголовок 1"/>
    <w:basedOn w:val="a"/>
    <w:next w:val="a"/>
    <w:qFormat/>
    <w:rsid w:val="00293895"/>
    <w:pPr>
      <w:keepNext/>
      <w:widowControl w:val="0"/>
      <w:numPr>
        <w:numId w:val="1"/>
      </w:numPr>
      <w:snapToGrid w:val="0"/>
      <w:spacing w:before="240"/>
      <w:ind w:left="0"/>
    </w:pPr>
    <w:rPr>
      <w:sz w:val="28"/>
      <w:szCs w:val="20"/>
    </w:rPr>
  </w:style>
  <w:style w:type="character" w:customStyle="1" w:styleId="31">
    <w:name w:val="Стиль3 Знак"/>
    <w:link w:val="32"/>
    <w:locked/>
    <w:rsid w:val="00410FB0"/>
    <w:rPr>
      <w:sz w:val="24"/>
      <w:lang w:val="x-none" w:eastAsia="x-none"/>
    </w:rPr>
  </w:style>
  <w:style w:type="paragraph" w:customStyle="1" w:styleId="32">
    <w:name w:val="Стиль3"/>
    <w:basedOn w:val="21"/>
    <w:link w:val="31"/>
    <w:qFormat/>
    <w:rsid w:val="00410FB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410F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F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7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EF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67E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7E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7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7E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7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00C4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00C4B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BF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BF2C30"/>
    <w:pPr>
      <w:spacing w:line="276" w:lineRule="auto"/>
      <w:outlineLvl w:val="9"/>
    </w:pPr>
  </w:style>
  <w:style w:type="paragraph" w:styleId="af4">
    <w:name w:val="Subtitle"/>
    <w:basedOn w:val="a"/>
    <w:next w:val="a"/>
    <w:link w:val="af5"/>
    <w:uiPriority w:val="11"/>
    <w:qFormat/>
    <w:rsid w:val="00BF2C30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BF2C30"/>
    <w:rPr>
      <w:rFonts w:asciiTheme="majorHAnsi" w:eastAsiaTheme="majorEastAsia" w:hAnsiTheme="majorHAnsi" w:cstheme="majorBidi"/>
      <w:iCs/>
      <w:spacing w:val="15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2401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32401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3240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29389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9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938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9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93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6610-C474-4AB8-B2D6-E0DE5384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Кучеревский Александр Юрьевич</dc:creator>
  <cp:lastModifiedBy>Rosatom  MENA Rosatom MENA</cp:lastModifiedBy>
  <cp:revision>3</cp:revision>
  <cp:lastPrinted>2019-12-10T13:12:00Z</cp:lastPrinted>
  <dcterms:created xsi:type="dcterms:W3CDTF">2020-11-27T07:48:00Z</dcterms:created>
  <dcterms:modified xsi:type="dcterms:W3CDTF">2020-11-27T07:49:00Z</dcterms:modified>
</cp:coreProperties>
</file>