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C384" w14:textId="590325EF" w:rsidR="00B52814" w:rsidRPr="0000380D" w:rsidRDefault="006C15EA" w:rsidP="006C15EA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MINUTES</w:t>
      </w:r>
      <w:r w:rsidR="00E11A2B"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No. </w:t>
      </w:r>
      <w:r w:rsidR="00F36A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2018/39-2</w:t>
      </w:r>
    </w:p>
    <w:p w14:paraId="0A599DCF" w14:textId="562B5E9F" w:rsidR="00B52814" w:rsidRPr="00D831BA" w:rsidRDefault="00A475A7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36A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meeting of the procurement committee for consideration of bids at the </w:t>
      </w:r>
      <w:r w:rsidR="00F36A8A" w:rsidRPr="00F36A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selection stage </w:t>
      </w:r>
      <w:r w:rsidRPr="00F36A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the public request for proposals for the right to conclude a contract the rendering services of informational support in Egypt for 2019</w:t>
      </w:r>
    </w:p>
    <w:p w14:paraId="2B07D59C" w14:textId="77777777" w:rsidR="00B52814" w:rsidRDefault="00B528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14:paraId="669A791E" w14:textId="6A27FA34" w:rsidR="00B52814" w:rsidRPr="006C15EA" w:rsidRDefault="0000380D">
      <w:pPr>
        <w:widowControl w:val="0"/>
        <w:tabs>
          <w:tab w:val="left" w:pos="252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/>
        </w:rPr>
        <w:t>Dubai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date of signing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</w:t>
      </w:r>
      <w:r w:rsidR="008E54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11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» </w:t>
      </w:r>
      <w:r w:rsidR="00F36A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</w:t>
      </w:r>
      <w:r w:rsid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ember</w:t>
      </w:r>
      <w:r w:rsidR="006C15EA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2018</w:t>
      </w:r>
    </w:p>
    <w:p w14:paraId="4F255D9F" w14:textId="77777777" w:rsidR="00B52814" w:rsidRPr="006C15EA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678581EA" w14:textId="77777777" w:rsidR="00B52814" w:rsidRPr="006C15EA" w:rsidRDefault="006C15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The procurement is being held in accordance with Rosatom Procurement Standard (Procurement Regulations), as amended by Resolution of the Supervisory Board of Rosatom State Corporation (</w:t>
      </w:r>
      <w:r w:rsidRPr="002B1F2A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Minutes dated 23rd of June No. 105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).</w:t>
      </w:r>
    </w:p>
    <w:p w14:paraId="07D5D018" w14:textId="77777777" w:rsidR="00B52814" w:rsidRPr="006C15EA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309CD347" w14:textId="77777777" w:rsidR="00B52814" w:rsidRPr="006C15EA" w:rsidRDefault="006C15EA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C1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Information</w:t>
      </w:r>
      <w:r w:rsidRPr="006C15EA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 about procurement:</w:t>
      </w:r>
    </w:p>
    <w:p w14:paraId="0B622B3B" w14:textId="52E052C4" w:rsidR="00B52814" w:rsidRPr="0068349E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15EA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Pr="0068349E">
        <w:rPr>
          <w:rFonts w:ascii="Times New Roman" w:hAnsi="Times New Roman"/>
          <w:b/>
          <w:sz w:val="28"/>
          <w:szCs w:val="28"/>
          <w:lang w:val="en-US"/>
        </w:rPr>
        <w:t>Customer acting as Procurement Organizer:</w:t>
      </w:r>
      <w:r w:rsidRPr="0068349E">
        <w:rPr>
          <w:rFonts w:ascii="Times New Roman" w:hAnsi="Times New Roman"/>
          <w:b/>
          <w:i/>
          <w:lang w:val="en-US"/>
        </w:rPr>
        <w:t xml:space="preserve"> </w:t>
      </w:r>
      <w:r w:rsidR="00F36A8A">
        <w:rPr>
          <w:rFonts w:ascii="Times New Roman" w:eastAsia="Times New Roman" w:hAnsi="Times New Roman"/>
          <w:sz w:val="28"/>
          <w:szCs w:val="28"/>
          <w:lang w:val="en"/>
        </w:rPr>
        <w:t>Rosatom Middle East and North Africa FZ LLC</w:t>
      </w:r>
      <w:r w:rsidRPr="0068349E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.</w:t>
      </w:r>
    </w:p>
    <w:p w14:paraId="50212124" w14:textId="2912BB71" w:rsidR="006C15EA" w:rsidRPr="0068349E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Form and method </w:t>
      </w:r>
      <w:r w:rsidR="0068349E" w:rsidRPr="006834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 procurement procedure</w:t>
      </w: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: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 xml:space="preserve"> </w:t>
      </w:r>
      <w:r w:rsidR="00F36A8A">
        <w:rPr>
          <w:rFonts w:ascii="Times New Roman" w:hAnsi="Times New Roman"/>
          <w:sz w:val="28"/>
          <w:szCs w:val="28"/>
          <w:lang w:val="en-US"/>
        </w:rPr>
        <w:t>public one stage request for proposals without pre-qualification selection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22015073" w14:textId="21CEA56F" w:rsid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</w:pP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Subject </w:t>
      </w:r>
      <w:r w:rsidR="0068349E" w:rsidRPr="0068349E">
        <w:rPr>
          <w:rFonts w:ascii="Times New Roman" w:hAnsi="Times New Roman"/>
          <w:b/>
          <w:sz w:val="28"/>
          <w:szCs w:val="28"/>
          <w:lang w:val="en-US"/>
        </w:rPr>
        <w:t>matter of the</w:t>
      </w:r>
      <w:r w:rsidR="0068349E" w:rsidRPr="006834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procurement: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 xml:space="preserve"> </w:t>
      </w:r>
      <w:r w:rsidR="00F36A8A" w:rsidRPr="009C35BE">
        <w:rPr>
          <w:rFonts w:ascii="Times New Roman" w:hAnsi="Times New Roman"/>
          <w:sz w:val="28"/>
          <w:szCs w:val="28"/>
          <w:lang w:val="en-US"/>
        </w:rPr>
        <w:t xml:space="preserve">the right </w:t>
      </w:r>
      <w:r w:rsidR="00F36A8A" w:rsidRPr="00487A04">
        <w:rPr>
          <w:rFonts w:ascii="Times New Roman" w:hAnsi="Times New Roman"/>
          <w:sz w:val="28"/>
          <w:szCs w:val="28"/>
          <w:lang w:val="en-US"/>
        </w:rPr>
        <w:t xml:space="preserve">to conclude a contract for the rendering services of informational support in </w:t>
      </w:r>
      <w:r w:rsidR="00F36A8A">
        <w:rPr>
          <w:rFonts w:ascii="Times New Roman" w:hAnsi="Times New Roman"/>
          <w:sz w:val="28"/>
          <w:szCs w:val="28"/>
          <w:lang w:val="en-US"/>
        </w:rPr>
        <w:t>Egypt</w:t>
      </w:r>
      <w:r w:rsidR="00F36A8A" w:rsidRPr="00487A04">
        <w:rPr>
          <w:rFonts w:ascii="Times New Roman" w:hAnsi="Times New Roman"/>
          <w:sz w:val="28"/>
          <w:szCs w:val="28"/>
          <w:lang w:val="en-US"/>
        </w:rPr>
        <w:t xml:space="preserve"> for the period 2019</w:t>
      </w:r>
      <w:r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>.</w:t>
      </w:r>
    </w:p>
    <w:p w14:paraId="2778149C" w14:textId="1AA7E81A" w:rsidR="0068349E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Subject matter of the contract: </w:t>
      </w:r>
      <w:r w:rsidR="00F36A8A" w:rsidRPr="00487A04">
        <w:rPr>
          <w:rFonts w:ascii="Times New Roman" w:hAnsi="Times New Roman"/>
          <w:sz w:val="28"/>
          <w:szCs w:val="28"/>
          <w:lang w:val="en-US"/>
        </w:rPr>
        <w:t xml:space="preserve">rendering services of informational support in </w:t>
      </w:r>
      <w:r w:rsidR="00F36A8A">
        <w:rPr>
          <w:rFonts w:ascii="Times New Roman" w:hAnsi="Times New Roman"/>
          <w:sz w:val="28"/>
          <w:szCs w:val="28"/>
          <w:lang w:val="en-US"/>
        </w:rPr>
        <w:t>Egypt</w:t>
      </w:r>
      <w:r w:rsidR="00F36A8A" w:rsidRPr="00487A04">
        <w:rPr>
          <w:rFonts w:ascii="Times New Roman" w:hAnsi="Times New Roman"/>
          <w:sz w:val="28"/>
          <w:szCs w:val="28"/>
          <w:lang w:val="en-US"/>
        </w:rPr>
        <w:t xml:space="preserve"> for the period 2019</w:t>
      </w:r>
      <w:r w:rsidRPr="004C6E75">
        <w:rPr>
          <w:rFonts w:ascii="Times New Roman" w:hAnsi="Times New Roman"/>
          <w:sz w:val="28"/>
          <w:szCs w:val="28"/>
          <w:lang w:val="en-US"/>
        </w:rPr>
        <w:t>.</w:t>
      </w:r>
    </w:p>
    <w:p w14:paraId="44BB6D6D" w14:textId="77777777" w:rsidR="0068349E" w:rsidRP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14:paraId="6561D6BF" w14:textId="285AFC0E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229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The initial (maximum) contract price: </w:t>
      </w:r>
      <w:r w:rsidR="00F36A8A">
        <w:rPr>
          <w:rFonts w:ascii="Times New Roman" w:eastAsia="Calibri" w:hAnsi="Times New Roman" w:cs="Times New Roman"/>
          <w:sz w:val="28"/>
          <w:szCs w:val="28"/>
          <w:lang w:val="en-US"/>
        </w:rPr>
        <w:t>226 062,00 EUR</w:t>
      </w:r>
      <w:r w:rsidR="00F36A8A" w:rsidRPr="00C876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including VAT</w:t>
      </w:r>
      <w:r w:rsidR="006C15EA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757849A8" w14:textId="6F927992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Time frames for provision services: </w:t>
      </w:r>
      <w:r w:rsidR="00F36A8A" w:rsidRPr="00132293">
        <w:rPr>
          <w:rFonts w:ascii="Times New Roman" w:hAnsi="Times New Roman"/>
          <w:sz w:val="28"/>
          <w:szCs w:val="28"/>
          <w:lang w:val="en-US"/>
        </w:rPr>
        <w:t>12 calendar months from the date of the contract’s conclusion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22AE9DEE" w14:textId="6F71A6EA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Place of provision of services: </w:t>
      </w:r>
      <w:r w:rsidR="00F36A8A" w:rsidRPr="00132293">
        <w:rPr>
          <w:rFonts w:ascii="Times New Roman" w:hAnsi="Times New Roman"/>
          <w:sz w:val="28"/>
          <w:szCs w:val="28"/>
          <w:lang w:val="en-US"/>
        </w:rPr>
        <w:t>in accordance with the Part 3 “Draft Contract” of Volume 1 of the Procurement Documentation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1FED7C85" w14:textId="39B524A2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Contents and scope of services: </w:t>
      </w:r>
      <w:r w:rsidR="00F36A8A" w:rsidRPr="00132293">
        <w:rPr>
          <w:rFonts w:ascii="Times New Roman" w:hAnsi="Times New Roman"/>
          <w:sz w:val="28"/>
          <w:szCs w:val="28"/>
          <w:lang w:val="en-US"/>
        </w:rPr>
        <w:t>all necessary information is given in Volume 2 of the procurement documentation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74CEB19C" w14:textId="77777777" w:rsid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880AFD3" w14:textId="159D6BFC" w:rsidR="006C15EA" w:rsidRDefault="00F36A8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The public notice about request for proposals and procurement documentation were published 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 xml:space="preserve">on 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>1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November 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>2018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on the Internet on the official website </w:t>
      </w:r>
      <w:hyperlink r:id="rId8" w:history="1">
        <w:r w:rsidRPr="0041680F">
          <w:rPr>
            <w:rStyle w:val="af1"/>
            <w:lang w:val="en-US"/>
          </w:rPr>
          <w:t xml:space="preserve"> </w:t>
        </w:r>
        <w:r w:rsidRPr="005354CE">
          <w:rPr>
            <w:rStyle w:val="af1"/>
            <w:rFonts w:ascii="Times New Roman" w:hAnsi="Times New Roman"/>
            <w:sz w:val="28"/>
            <w:szCs w:val="28"/>
            <w:lang w:val="en-IN"/>
          </w:rPr>
          <w:t>http://zakupki.rosatom.ru/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Pr="00C8764A">
        <w:rPr>
          <w:rFonts w:ascii="Times New Roman" w:hAnsi="Times New Roman" w:cs="Times New Roman"/>
          <w:sz w:val="28"/>
          <w:szCs w:val="28"/>
          <w:lang w:val="en-GB"/>
        </w:rPr>
        <w:t xml:space="preserve">№ 181101/5534/080)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on the regional website </w:t>
      </w:r>
      <w:hyperlink r:id="rId9" w:history="1">
        <w:r w:rsidRPr="00A352D2">
          <w:rPr>
            <w:rStyle w:val="af1"/>
            <w:rFonts w:ascii="Times New Roman" w:hAnsi="Times New Roman"/>
            <w:sz w:val="28"/>
            <w:szCs w:val="28"/>
            <w:lang w:val="en-IN"/>
          </w:rPr>
          <w:t>https://rosatom-mena.com/suppliers/procurement/ongoing-procurement/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3BE5F8C3" w14:textId="77777777" w:rsidR="006C15EA" w:rsidRP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14:paraId="008512C8" w14:textId="01DA2BF7" w:rsidR="00B52814" w:rsidRPr="006C15EA" w:rsidRDefault="006834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The meeting of the Procurement Committee is being held at </w:t>
      </w:r>
      <w:r w:rsidR="00F36A8A">
        <w:rPr>
          <w:rFonts w:ascii="Times New Roman" w:hAnsi="Times New Roman" w:cs="Times New Roman"/>
          <w:sz w:val="28"/>
          <w:szCs w:val="28"/>
          <w:lang w:val="en-IN"/>
        </w:rPr>
        <w:t>12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:00 (local time) on 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36A8A">
        <w:rPr>
          <w:rFonts w:ascii="Times New Roman" w:hAnsi="Times New Roman" w:cs="Times New Roman"/>
          <w:sz w:val="28"/>
          <w:szCs w:val="28"/>
          <w:lang w:val="en-IN"/>
        </w:rPr>
        <w:t>11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of </w:t>
      </w:r>
      <w:r w:rsidR="00F36A8A">
        <w:rPr>
          <w:rFonts w:ascii="Times New Roman" w:hAnsi="Times New Roman" w:cs="Times New Roman"/>
          <w:sz w:val="28"/>
          <w:szCs w:val="28"/>
          <w:lang w:val="en-IN"/>
        </w:rPr>
        <w:t>Dec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ember 2018 at the address: 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>Office 1108A, Business Central Towers, DIC, Dubai, UAE, P/O 500705</w:t>
      </w:r>
      <w:r w:rsidR="006C15EA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0C2E3024" w14:textId="77777777" w:rsidR="00B52814" w:rsidRPr="006C15EA" w:rsidRDefault="00B52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D529E5A" w14:textId="4019D6CE" w:rsidR="006C15EA" w:rsidRPr="00785130" w:rsidRDefault="00785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1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The meeting is held in the </w:t>
      </w:r>
      <w:r w:rsidRPr="008E54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presence of</w:t>
      </w:r>
      <w:r w:rsidR="00543A3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6</w:t>
      </w:r>
      <w:r w:rsidRPr="008E54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of 7 members</w:t>
      </w:r>
      <w:r w:rsidRPr="007851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of the procurement commi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ttee. </w:t>
      </w:r>
      <w:r w:rsidR="006C15EA" w:rsidRPr="007851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quorum is present.</w:t>
      </w:r>
    </w:p>
    <w:p w14:paraId="1591D4F7" w14:textId="77777777" w:rsidR="006C15EA" w:rsidRPr="00785130" w:rsidRDefault="006C1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16A3BB5C" w14:textId="076F75E7" w:rsidR="00B52814" w:rsidRPr="00A54385" w:rsidRDefault="00A54385" w:rsidP="00A54385">
      <w:pPr>
        <w:keepLines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According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minutes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opening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envelops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with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№</w:t>
      </w:r>
      <w:r w:rsidR="00F36A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2018-39-1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F36A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November 19, 2018</w:t>
      </w:r>
      <w:r w:rsidR="000721E3" w:rsidRPr="00A54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totally were submitted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envelops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with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by the following bidders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209"/>
        <w:gridCol w:w="2365"/>
        <w:gridCol w:w="3118"/>
        <w:gridCol w:w="3398"/>
      </w:tblGrid>
      <w:tr w:rsidR="00F36A8A" w:rsidRPr="006D3797" w14:paraId="201F995B" w14:textId="77777777" w:rsidTr="00517CDE">
        <w:trPr>
          <w:cantSplit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D1A53" w14:textId="77777777" w:rsidR="00F36A8A" w:rsidRPr="008B285E" w:rsidRDefault="00F36A8A" w:rsidP="00517CDE">
            <w:pPr>
              <w:pStyle w:val="31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envelops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register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7B865" w14:textId="77777777" w:rsidR="00F36A8A" w:rsidRPr="008B285E" w:rsidRDefault="00F36A8A" w:rsidP="00517CDE">
            <w:pPr>
              <w:pStyle w:val="31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Name of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D727" w14:textId="77777777" w:rsidR="00F36A8A" w:rsidRPr="008B285E" w:rsidRDefault="00F36A8A" w:rsidP="00517CDE">
            <w:pPr>
              <w:pStyle w:val="31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Registered and actual address of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D28E" w14:textId="77777777" w:rsidR="00F36A8A" w:rsidRPr="008B285E" w:rsidRDefault="00F36A8A" w:rsidP="00517CDE">
            <w:pPr>
              <w:pStyle w:val="31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Price of bid proposed by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;</w:t>
            </w:r>
          </w:p>
          <w:p w14:paraId="567D4DD4" w14:textId="77777777" w:rsidR="00F36A8A" w:rsidRPr="008B285E" w:rsidRDefault="00F36A8A" w:rsidP="00517CDE">
            <w:pPr>
              <w:pStyle w:val="31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</w:t>
            </w:r>
          </w:p>
        </w:tc>
      </w:tr>
      <w:tr w:rsidR="00F36A8A" w:rsidRPr="006D3797" w14:paraId="49D54404" w14:textId="77777777" w:rsidTr="00517CDE">
        <w:trPr>
          <w:cantSplit/>
          <w:trHeight w:val="762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4AFBA4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A4BCA4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4PR Group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58F0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Legal address: Bldg 41, St. 269, New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Maadi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, Cairo, Egypt</w:t>
            </w:r>
          </w:p>
          <w:p w14:paraId="05AC18BF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Actual address: Bldg 4, St. 258, New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Maadi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, Cairo, Egypt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2C5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the</w:t>
            </w: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bid:</w:t>
            </w:r>
          </w:p>
          <w:p w14:paraId="03FD1FEE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20BE9134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208 080.00 EUR</w:t>
            </w:r>
          </w:p>
        </w:tc>
      </w:tr>
      <w:tr w:rsidR="00F36A8A" w:rsidRPr="008B285E" w14:paraId="7EC3AE06" w14:textId="77777777" w:rsidTr="00517CDE">
        <w:trPr>
          <w:cantSplit/>
          <w:trHeight w:val="762"/>
        </w:trPr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F3C46" w14:textId="77777777" w:rsidR="00F36A8A" w:rsidRPr="006716CC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815B6" w14:textId="77777777" w:rsidR="00F36A8A" w:rsidRPr="006716CC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9726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50D8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bid:</w:t>
            </w:r>
          </w:p>
          <w:p w14:paraId="26DE1F40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14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November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</w:t>
            </w:r>
          </w:p>
          <w:p w14:paraId="3261973E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14:35</w:t>
            </w:r>
          </w:p>
          <w:p w14:paraId="64F3F9D1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F36A8A" w:rsidRPr="006D3797" w14:paraId="2A2EC1EF" w14:textId="77777777" w:rsidTr="00517CDE">
        <w:trPr>
          <w:cantSplit/>
          <w:trHeight w:val="762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3F819FC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009B17C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Transitional Markets Consultancy LLP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D331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Legal and actual address:</w:t>
            </w:r>
          </w:p>
          <w:p w14:paraId="31B4BCEB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Hamilton House,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Mabledon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Place, London, WC1H 9BB, United Kingdom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D19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 the bid:</w:t>
            </w:r>
          </w:p>
          <w:p w14:paraId="555AAE18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12D5ABDC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180 000.00 EUR</w:t>
            </w:r>
          </w:p>
        </w:tc>
      </w:tr>
      <w:tr w:rsidR="00F36A8A" w:rsidRPr="003D15ED" w14:paraId="66B2AF6B" w14:textId="77777777" w:rsidTr="00517CDE">
        <w:trPr>
          <w:cantSplit/>
          <w:trHeight w:val="762"/>
        </w:trPr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2AB57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40750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78AE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547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bid:</w:t>
            </w:r>
          </w:p>
          <w:p w14:paraId="4980B50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15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November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</w:t>
            </w:r>
          </w:p>
          <w:p w14:paraId="69ACDAC0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12:45</w:t>
            </w:r>
          </w:p>
          <w:p w14:paraId="2750ED77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</w:p>
        </w:tc>
      </w:tr>
      <w:tr w:rsidR="00F36A8A" w:rsidRPr="006D3797" w14:paraId="4A287442" w14:textId="77777777" w:rsidTr="00517CDE">
        <w:trPr>
          <w:cantSplit/>
          <w:trHeight w:val="768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0076C2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D8D6FA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TRACCS PR LLC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C213F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Legal and actual address:</w:t>
            </w:r>
          </w:p>
          <w:p w14:paraId="1D541AFF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12/14 El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Nerges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St. (formerly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Thawra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Dokki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, Cairo, Egypt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6973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 the bid:</w:t>
            </w:r>
          </w:p>
          <w:p w14:paraId="11863F31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6632E92E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226 050.00 EUR</w:t>
            </w:r>
          </w:p>
        </w:tc>
      </w:tr>
      <w:tr w:rsidR="00F36A8A" w:rsidRPr="003D15ED" w14:paraId="14025C63" w14:textId="77777777" w:rsidTr="00517CDE">
        <w:trPr>
          <w:cantSplit/>
          <w:trHeight w:val="1425"/>
        </w:trPr>
        <w:tc>
          <w:tcPr>
            <w:tcW w:w="599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00ED0F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7930D3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E3292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EB2D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Date and time of submission the bid:</w:t>
            </w:r>
          </w:p>
          <w:p w14:paraId="35C8D28C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«15» November 2018 </w:t>
            </w:r>
          </w:p>
          <w:p w14:paraId="74421D59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15</w:t>
            </w: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:45</w:t>
            </w:r>
          </w:p>
          <w:p w14:paraId="276CCD07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</w:tr>
      <w:tr w:rsidR="00F36A8A" w:rsidRPr="00C8764A" w14:paraId="46760DD3" w14:textId="77777777" w:rsidTr="00517CDE">
        <w:trPr>
          <w:cantSplit/>
          <w:trHeight w:val="762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9F0972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lastRenderedPageBreak/>
              <w:t>4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53A3F3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46972067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Imars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Media LLC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2F4F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Legal and actual Address:</w:t>
            </w:r>
          </w:p>
          <w:p w14:paraId="083BC67A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105082, Moscow, Friedrich Engels str., h. 75/11, office 607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F2A2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 the bid:</w:t>
            </w:r>
          </w:p>
          <w:p w14:paraId="621E3985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3C918925" w14:textId="77777777" w:rsidR="00F36A8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198 805.00 EUR</w:t>
            </w:r>
          </w:p>
          <w:p w14:paraId="36472483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  <w:p w14:paraId="625087C9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</w:p>
        </w:tc>
      </w:tr>
      <w:tr w:rsidR="00F36A8A" w:rsidRPr="003D15ED" w14:paraId="754434E4" w14:textId="77777777" w:rsidTr="00517CDE">
        <w:trPr>
          <w:cantSplit/>
          <w:trHeight w:val="762"/>
        </w:trPr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D2F65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00411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D9DE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DD63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Date and time of submission the bid:</w:t>
            </w:r>
          </w:p>
          <w:p w14:paraId="5C1BDA3B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«1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9</w:t>
            </w: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» November 2018 </w:t>
            </w:r>
          </w:p>
          <w:p w14:paraId="338FFD46" w14:textId="77777777" w:rsidR="00F36A8A" w:rsidRPr="00C8764A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9</w:t>
            </w:r>
            <w:r w:rsidRPr="00C876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30</w:t>
            </w:r>
          </w:p>
          <w:p w14:paraId="35F4393A" w14:textId="77777777" w:rsidR="00F36A8A" w:rsidRPr="008B285E" w:rsidRDefault="00F36A8A" w:rsidP="00517CD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</w:p>
        </w:tc>
      </w:tr>
    </w:tbl>
    <w:p w14:paraId="07299E9B" w14:textId="77777777" w:rsidR="00A54385" w:rsidRPr="0000380D" w:rsidRDefault="00A54385" w:rsidP="00A54385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62B656DB" w14:textId="6C2C6295" w:rsidR="00B52814" w:rsidRPr="00F36A8A" w:rsidRDefault="00F36A8A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Based on the results of consideration of </w:t>
      </w:r>
      <w:r>
        <w:rPr>
          <w:rFonts w:ascii="Times New Roman" w:hAnsi="Times New Roman" w:cs="Times New Roman"/>
          <w:sz w:val="28"/>
          <w:szCs w:val="24"/>
          <w:lang w:val="en-GB" w:eastAsia="ru-RU"/>
        </w:rPr>
        <w:t>bid</w:t>
      </w: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s for participation in the public request for proposals at the </w:t>
      </w:r>
      <w:r>
        <w:rPr>
          <w:rFonts w:ascii="Times New Roman" w:hAnsi="Times New Roman" w:cs="Times New Roman"/>
          <w:sz w:val="28"/>
          <w:szCs w:val="24"/>
          <w:lang w:val="en-GB" w:eastAsia="ru-RU"/>
        </w:rPr>
        <w:t>selection</w:t>
      </w: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 stage, the procurement comm</w:t>
      </w:r>
      <w:r>
        <w:rPr>
          <w:rFonts w:ascii="Times New Roman" w:hAnsi="Times New Roman" w:cs="Times New Roman"/>
          <w:sz w:val="28"/>
          <w:szCs w:val="24"/>
          <w:lang w:val="en-GB" w:eastAsia="ru-RU"/>
        </w:rPr>
        <w:t>ittee</w:t>
      </w: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 adopted the following decisions</w:t>
      </w:r>
      <w:r w:rsidR="000721E3" w:rsidRPr="00F36A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14:paraId="082EF265" w14:textId="0E61B57F" w:rsidR="00B52814" w:rsidRPr="00F36A8A" w:rsidRDefault="00F36A8A">
      <w:pPr>
        <w:keepLines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Deny admission to further participation in the public request for proposals to the following </w:t>
      </w:r>
      <w:r>
        <w:rPr>
          <w:rFonts w:ascii="Times New Roman" w:hAnsi="Times New Roman" w:cs="Times New Roman"/>
          <w:sz w:val="28"/>
          <w:szCs w:val="24"/>
          <w:lang w:val="en-GB" w:eastAsia="ru-RU"/>
        </w:rPr>
        <w:t>bidders</w:t>
      </w:r>
      <w:r w:rsidRPr="006E67C4">
        <w:rPr>
          <w:rFonts w:ascii="Times New Roman" w:hAnsi="Times New Roman" w:cs="Times New Roman"/>
          <w:sz w:val="28"/>
          <w:szCs w:val="24"/>
          <w:lang w:val="en-GB" w:eastAsia="ru-RU"/>
        </w:rPr>
        <w:t xml:space="preserve"> of the request for proposals who submitted </w:t>
      </w:r>
      <w:r>
        <w:rPr>
          <w:rFonts w:ascii="Times New Roman" w:hAnsi="Times New Roman" w:cs="Times New Roman"/>
          <w:sz w:val="28"/>
          <w:szCs w:val="24"/>
          <w:lang w:val="en-GB" w:eastAsia="ru-RU"/>
        </w:rPr>
        <w:t>bids</w:t>
      </w:r>
      <w:r w:rsidR="00A54385" w:rsidRPr="00F36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14:paraId="0C15B036" w14:textId="0E1BE5A2" w:rsidR="00D831BA" w:rsidRPr="00F36A8A" w:rsidRDefault="00F36A8A" w:rsidP="00F36A8A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bCs/>
          <w:snapToGrid w:val="0"/>
          <w:sz w:val="28"/>
          <w:szCs w:val="28"/>
          <w:lang w:val="en-US"/>
        </w:rPr>
      </w:pPr>
      <w:proofErr w:type="spellStart"/>
      <w:r w:rsidRPr="00F36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Imars</w:t>
      </w:r>
      <w:proofErr w:type="spellEnd"/>
      <w:r w:rsidRPr="00F36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Media LLC</w:t>
      </w:r>
      <w:r w:rsidR="0068349E" w:rsidRPr="00F36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E67C4">
        <w:rPr>
          <w:rFonts w:ascii="Times New Roman" w:hAnsi="Times New Roman" w:cs="Times New Roman"/>
          <w:sz w:val="28"/>
          <w:lang w:val="en-GB"/>
        </w:rPr>
        <w:t>on the basis of paragraph (e) of clause 8.3 of Part 1 of Annex 12 of the Rosatom Procurement Standard (Procurement Regulations) and paragraph (e) of clause 9.3 of Part 2 of Volume 1 of the Procurement documentation, namely:</w:t>
      </w:r>
      <w:r w:rsidR="00A54385" w:rsidRPr="00F36A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3715BED7" w14:textId="35C64E5A" w:rsidR="00B52814" w:rsidRPr="00707193" w:rsidRDefault="00707193" w:rsidP="00294B4B">
      <w:pPr>
        <w:pStyle w:val="af7"/>
        <w:keepLines/>
        <w:numPr>
          <w:ilvl w:val="0"/>
          <w:numId w:val="23"/>
        </w:numPr>
        <w:ind w:left="0" w:firstLine="709"/>
        <w:jc w:val="both"/>
        <w:rPr>
          <w:sz w:val="28"/>
          <w:lang w:val="en-US"/>
        </w:rPr>
      </w:pPr>
      <w:r w:rsidRPr="006E67C4">
        <w:rPr>
          <w:sz w:val="28"/>
          <w:lang w:val="en-GB"/>
        </w:rPr>
        <w:t xml:space="preserve">Inconsistency of the order and terms of providing </w:t>
      </w:r>
      <w:r>
        <w:rPr>
          <w:sz w:val="28"/>
          <w:lang w:val="en-GB"/>
        </w:rPr>
        <w:t>bid security f</w:t>
      </w:r>
      <w:r w:rsidRPr="006E67C4">
        <w:rPr>
          <w:sz w:val="28"/>
          <w:lang w:val="en-GB"/>
        </w:rPr>
        <w:t xml:space="preserve">or the </w:t>
      </w:r>
      <w:r>
        <w:rPr>
          <w:sz w:val="28"/>
          <w:lang w:val="en-GB"/>
        </w:rPr>
        <w:t>bid</w:t>
      </w:r>
      <w:r w:rsidRPr="006E67C4">
        <w:rPr>
          <w:sz w:val="28"/>
          <w:lang w:val="en-GB"/>
        </w:rPr>
        <w:t xml:space="preserve"> for participation in the purchase with the requirements of clause 11) of the notice of the procurement and paragraph 11) of Part 1 of Volume 1 of the procurement documentation regarding the provision of </w:t>
      </w:r>
      <w:r>
        <w:rPr>
          <w:sz w:val="28"/>
          <w:lang w:val="en-GB"/>
        </w:rPr>
        <w:t>the bid security for</w:t>
      </w:r>
      <w:r w:rsidRPr="006E67C4">
        <w:rPr>
          <w:sz w:val="28"/>
          <w:lang w:val="en-GB"/>
        </w:rPr>
        <w:t xml:space="preserve"> participating in the purchase</w:t>
      </w:r>
      <w:r w:rsidR="00294B4B" w:rsidRPr="00707193">
        <w:rPr>
          <w:sz w:val="28"/>
          <w:lang w:val="en-US"/>
        </w:rPr>
        <w:t>.</w:t>
      </w:r>
    </w:p>
    <w:p w14:paraId="47883D07" w14:textId="4E9A30D4" w:rsidR="00707193" w:rsidRPr="00707193" w:rsidRDefault="00707193" w:rsidP="00707193">
      <w:pPr>
        <w:pStyle w:val="af7"/>
        <w:widowControl w:val="0"/>
        <w:tabs>
          <w:tab w:val="left" w:pos="993"/>
        </w:tabs>
        <w:suppressAutoHyphens/>
        <w:spacing w:before="120" w:after="120"/>
        <w:ind w:left="0" w:firstLine="709"/>
        <w:jc w:val="both"/>
        <w:rPr>
          <w:sz w:val="28"/>
          <w:lang w:val="en-GB"/>
        </w:rPr>
      </w:pPr>
      <w:r w:rsidRPr="00707193">
        <w:rPr>
          <w:sz w:val="28"/>
          <w:lang w:val="en-GB"/>
        </w:rPr>
        <w:t xml:space="preserve">The </w:t>
      </w:r>
      <w:proofErr w:type="spellStart"/>
      <w:r w:rsidRPr="00F36A8A">
        <w:rPr>
          <w:rFonts w:eastAsia="Calibri"/>
          <w:sz w:val="28"/>
          <w:szCs w:val="28"/>
          <w:lang w:val="en-US"/>
        </w:rPr>
        <w:t>Imars</w:t>
      </w:r>
      <w:proofErr w:type="spellEnd"/>
      <w:r w:rsidRPr="00F36A8A">
        <w:rPr>
          <w:rFonts w:eastAsia="Calibri"/>
          <w:sz w:val="28"/>
          <w:szCs w:val="28"/>
          <w:lang w:val="en-US"/>
        </w:rPr>
        <w:t xml:space="preserve"> Media LLC</w:t>
      </w:r>
      <w:r w:rsidRPr="00707193">
        <w:rPr>
          <w:sz w:val="28"/>
          <w:lang w:val="en-GB"/>
        </w:rPr>
        <w:t xml:space="preserve"> </w:t>
      </w:r>
      <w:r>
        <w:rPr>
          <w:sz w:val="28"/>
          <w:lang w:val="en-GB"/>
        </w:rPr>
        <w:t>bid</w:t>
      </w:r>
      <w:r w:rsidRPr="00707193">
        <w:rPr>
          <w:sz w:val="28"/>
          <w:lang w:val="en-GB"/>
        </w:rPr>
        <w:t xml:space="preserve"> includes a payment order confirming the provision of bid security for the amount specified in clause 11) of Section 1 of Part 1 of Volume 1 of the Procurement Documentation. At the same time, money was not received to the settlement account of the procurement organizer.</w:t>
      </w:r>
    </w:p>
    <w:p w14:paraId="05FE417A" w14:textId="2B9C292A" w:rsidR="00707193" w:rsidRDefault="00707193" w:rsidP="00707193">
      <w:pPr>
        <w:pStyle w:val="af7"/>
        <w:widowControl w:val="0"/>
        <w:tabs>
          <w:tab w:val="left" w:pos="993"/>
        </w:tabs>
        <w:suppressAutoHyphens/>
        <w:spacing w:before="120" w:after="120"/>
        <w:ind w:left="0" w:firstLine="709"/>
        <w:jc w:val="both"/>
        <w:rPr>
          <w:sz w:val="28"/>
          <w:lang w:val="en-GB"/>
        </w:rPr>
      </w:pPr>
      <w:r w:rsidRPr="00707193">
        <w:rPr>
          <w:sz w:val="28"/>
          <w:lang w:val="en-GB"/>
        </w:rPr>
        <w:t xml:space="preserve">On the basis of Clause 7.2 of Section 1 of Appendix 12 to the </w:t>
      </w:r>
      <w:r>
        <w:rPr>
          <w:sz w:val="28"/>
          <w:lang w:val="en-GB"/>
        </w:rPr>
        <w:t>RPMS</w:t>
      </w:r>
      <w:r w:rsidRPr="00707193">
        <w:rPr>
          <w:sz w:val="28"/>
          <w:lang w:val="en-GB"/>
        </w:rPr>
        <w:t xml:space="preserve"> and Clause 8.2. Part 2 of Volume 1 of the Procurement Documentation, the </w:t>
      </w:r>
      <w:r>
        <w:rPr>
          <w:sz w:val="28"/>
          <w:lang w:val="en-GB"/>
        </w:rPr>
        <w:t>bid</w:t>
      </w:r>
      <w:r w:rsidRPr="00707193">
        <w:rPr>
          <w:sz w:val="28"/>
          <w:lang w:val="en-GB"/>
        </w:rPr>
        <w:t xml:space="preserve"> of </w:t>
      </w:r>
      <w:proofErr w:type="spellStart"/>
      <w:r w:rsidRPr="00F36A8A">
        <w:rPr>
          <w:rFonts w:eastAsia="Calibri"/>
          <w:sz w:val="28"/>
          <w:szCs w:val="28"/>
          <w:lang w:val="en-US"/>
        </w:rPr>
        <w:t>Imars</w:t>
      </w:r>
      <w:proofErr w:type="spellEnd"/>
      <w:r w:rsidRPr="00F36A8A">
        <w:rPr>
          <w:rFonts w:eastAsia="Calibri"/>
          <w:sz w:val="28"/>
          <w:szCs w:val="28"/>
          <w:lang w:val="en-US"/>
        </w:rPr>
        <w:t xml:space="preserve"> Media LLC</w:t>
      </w:r>
      <w:r w:rsidRPr="00707193">
        <w:rPr>
          <w:sz w:val="28"/>
          <w:lang w:val="en-GB"/>
        </w:rPr>
        <w:t xml:space="preserve"> for compliance with other selection criteria was not considered.</w:t>
      </w:r>
    </w:p>
    <w:p w14:paraId="1042D759" w14:textId="426768E1" w:rsidR="00707193" w:rsidRDefault="00707193" w:rsidP="00707193">
      <w:pPr>
        <w:pStyle w:val="af7"/>
        <w:widowControl w:val="0"/>
        <w:tabs>
          <w:tab w:val="left" w:pos="993"/>
        </w:tabs>
        <w:suppressAutoHyphens/>
        <w:spacing w:before="120" w:after="120"/>
        <w:ind w:left="0" w:firstLine="709"/>
        <w:jc w:val="both"/>
        <w:rPr>
          <w:sz w:val="28"/>
          <w:lang w:val="en-US"/>
        </w:rPr>
      </w:pPr>
    </w:p>
    <w:p w14:paraId="51C2C5BE" w14:textId="5CF5B291" w:rsidR="00F4415A" w:rsidRPr="00D82DA8" w:rsidRDefault="00D82DA8" w:rsidP="00CD147E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bCs/>
          <w:snapToGrid w:val="0"/>
          <w:sz w:val="28"/>
          <w:szCs w:val="28"/>
          <w:lang w:val="en-US"/>
        </w:rPr>
      </w:pPr>
      <w:r w:rsidRPr="00D82DA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4PR Group</w:t>
      </w:r>
      <w:r w:rsidR="00F4415A" w:rsidRPr="00D82DA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E67C4">
        <w:rPr>
          <w:rFonts w:ascii="Times New Roman" w:hAnsi="Times New Roman" w:cs="Times New Roman"/>
          <w:sz w:val="28"/>
          <w:lang w:val="en-GB"/>
        </w:rPr>
        <w:t xml:space="preserve">on the basis </w:t>
      </w:r>
      <w:r w:rsidRPr="00D82DA8">
        <w:rPr>
          <w:rFonts w:ascii="Times New Roman" w:hAnsi="Times New Roman" w:cs="Times New Roman"/>
          <w:sz w:val="28"/>
          <w:lang w:val="en-GB"/>
        </w:rPr>
        <w:t xml:space="preserve">of clause </w:t>
      </w:r>
      <w:r w:rsidRPr="00D82DA8">
        <w:rPr>
          <w:rFonts w:ascii="Times New Roman" w:hAnsi="Times New Roman" w:cs="Times New Roman"/>
          <w:sz w:val="28"/>
          <w:lang w:val="en-US"/>
        </w:rPr>
        <w:t>6</w:t>
      </w:r>
      <w:r w:rsidRPr="00D82DA8">
        <w:rPr>
          <w:rFonts w:ascii="Times New Roman" w:hAnsi="Times New Roman" w:cs="Times New Roman"/>
          <w:sz w:val="28"/>
          <w:lang w:val="en-GB"/>
        </w:rPr>
        <w:t>.</w:t>
      </w:r>
      <w:r w:rsidRPr="00D82DA8">
        <w:rPr>
          <w:rFonts w:ascii="Times New Roman" w:hAnsi="Times New Roman" w:cs="Times New Roman"/>
          <w:sz w:val="28"/>
          <w:lang w:val="en-US"/>
        </w:rPr>
        <w:t>6</w:t>
      </w:r>
      <w:r w:rsidRPr="00D82DA8">
        <w:rPr>
          <w:rFonts w:ascii="Times New Roman" w:hAnsi="Times New Roman" w:cs="Times New Roman"/>
          <w:sz w:val="28"/>
          <w:lang w:val="en-GB"/>
        </w:rPr>
        <w:t xml:space="preserve"> of Part </w:t>
      </w:r>
      <w:r w:rsidRPr="00D82DA8">
        <w:rPr>
          <w:rFonts w:ascii="Times New Roman" w:hAnsi="Times New Roman" w:cs="Times New Roman"/>
          <w:sz w:val="28"/>
          <w:lang w:val="en-US"/>
        </w:rPr>
        <w:t>3</w:t>
      </w:r>
      <w:r w:rsidRPr="00D82DA8">
        <w:rPr>
          <w:rFonts w:ascii="Times New Roman" w:hAnsi="Times New Roman" w:cs="Times New Roman"/>
          <w:sz w:val="28"/>
          <w:lang w:val="en-GB"/>
        </w:rPr>
        <w:t xml:space="preserve"> of Annex 12 of the Rosatom Procurement Standard (Procurement Regulations) and clause </w:t>
      </w:r>
      <w:r w:rsidRPr="00D82DA8">
        <w:rPr>
          <w:rFonts w:ascii="Times New Roman" w:hAnsi="Times New Roman" w:cs="Times New Roman"/>
          <w:sz w:val="28"/>
          <w:lang w:val="en-US"/>
        </w:rPr>
        <w:t>6</w:t>
      </w:r>
      <w:r w:rsidRPr="00D82DA8">
        <w:rPr>
          <w:rFonts w:ascii="Times New Roman" w:hAnsi="Times New Roman" w:cs="Times New Roman"/>
          <w:sz w:val="28"/>
          <w:lang w:val="en-GB"/>
        </w:rPr>
        <w:t>.</w:t>
      </w:r>
      <w:r w:rsidRPr="00D82DA8">
        <w:rPr>
          <w:rFonts w:ascii="Times New Roman" w:hAnsi="Times New Roman" w:cs="Times New Roman"/>
          <w:sz w:val="28"/>
          <w:lang w:val="en-US"/>
        </w:rPr>
        <w:t>5</w:t>
      </w:r>
      <w:r w:rsidRPr="00D82DA8">
        <w:rPr>
          <w:rFonts w:ascii="Times New Roman" w:hAnsi="Times New Roman" w:cs="Times New Roman"/>
          <w:sz w:val="28"/>
          <w:lang w:val="en-GB"/>
        </w:rPr>
        <w:t xml:space="preserve"> of Part 2 of Volume 1 of the Procurement documentation</w:t>
      </w:r>
      <w:r w:rsidR="00CD147E">
        <w:rPr>
          <w:rFonts w:ascii="Times New Roman" w:hAnsi="Times New Roman" w:cs="Times New Roman"/>
          <w:sz w:val="28"/>
          <w:lang w:val="en-GB"/>
        </w:rPr>
        <w:t>, due</w:t>
      </w:r>
      <w:r w:rsid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to the fact that the procurement bid is not </w:t>
      </w:r>
      <w:r w:rsidR="00CD147E"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stitched</w:t>
      </w:r>
      <w:r w:rsid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in accordance with the procedure specified in 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clause </w:t>
      </w:r>
      <w:r w:rsidR="00785130">
        <w:rPr>
          <w:rFonts w:ascii="Times New Roman" w:hAnsi="Times New Roman" w:cs="Times New Roman"/>
          <w:sz w:val="28"/>
          <w:lang w:val="en-US"/>
        </w:rPr>
        <w:t>5</w:t>
      </w:r>
      <w:r w:rsidR="00785130" w:rsidRPr="00D82DA8">
        <w:rPr>
          <w:rFonts w:ascii="Times New Roman" w:hAnsi="Times New Roman" w:cs="Times New Roman"/>
          <w:sz w:val="28"/>
          <w:lang w:val="en-GB"/>
        </w:rPr>
        <w:t>.</w:t>
      </w:r>
      <w:r w:rsidR="00785130" w:rsidRPr="00785130">
        <w:rPr>
          <w:rFonts w:ascii="Times New Roman" w:hAnsi="Times New Roman" w:cs="Times New Roman"/>
          <w:sz w:val="28"/>
          <w:lang w:val="en-US"/>
        </w:rPr>
        <w:t>10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Part </w:t>
      </w:r>
      <w:r w:rsidR="00785130" w:rsidRPr="00D82DA8">
        <w:rPr>
          <w:rFonts w:ascii="Times New Roman" w:hAnsi="Times New Roman" w:cs="Times New Roman"/>
          <w:sz w:val="28"/>
          <w:lang w:val="en-US"/>
        </w:rPr>
        <w:t>3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Annex 12 of the Rosatom Procurement Standard (Procurement Regulations) and clause </w:t>
      </w:r>
      <w:r w:rsidR="00785130" w:rsidRPr="00785130">
        <w:rPr>
          <w:rFonts w:ascii="Times New Roman" w:hAnsi="Times New Roman" w:cs="Times New Roman"/>
          <w:sz w:val="28"/>
          <w:lang w:val="en-US"/>
        </w:rPr>
        <w:t>5</w:t>
      </w:r>
      <w:r w:rsidR="00785130" w:rsidRPr="00D82DA8">
        <w:rPr>
          <w:rFonts w:ascii="Times New Roman" w:hAnsi="Times New Roman" w:cs="Times New Roman"/>
          <w:sz w:val="28"/>
          <w:lang w:val="en-GB"/>
        </w:rPr>
        <w:t>.</w:t>
      </w:r>
      <w:r w:rsidR="00785130" w:rsidRPr="00785130">
        <w:rPr>
          <w:rFonts w:ascii="Times New Roman" w:hAnsi="Times New Roman" w:cs="Times New Roman"/>
          <w:sz w:val="28"/>
          <w:lang w:val="en-US"/>
        </w:rPr>
        <w:t>10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Part 2 of Volume 1 of the Procurement documentation</w:t>
      </w:r>
      <w:r w:rsidR="00785130" w:rsidRPr="00785130">
        <w:rPr>
          <w:rFonts w:ascii="Times New Roman" w:hAnsi="Times New Roman" w:cs="Times New Roman"/>
          <w:sz w:val="28"/>
          <w:lang w:val="en-US"/>
        </w:rPr>
        <w:t>.</w:t>
      </w:r>
    </w:p>
    <w:p w14:paraId="7B6C31FC" w14:textId="5678AD9C" w:rsidR="00A54385" w:rsidRPr="00CD147E" w:rsidRDefault="00A5438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EA9189A" w14:textId="7B5B34BC" w:rsidR="00D82DA8" w:rsidRPr="00D82DA8" w:rsidRDefault="00D82DA8" w:rsidP="00D82DA8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851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TRACCS PR LLC on the basis of clause 6.6 of Part 3 of Annex 12 of the Rosatom Procurement Standard (Procurement Regulations) and clause 6.5 of Part 2 of Volume 1 o</w:t>
      </w:r>
      <w:r w:rsidR="00CD147E" w:rsidRPr="007851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 the Procurement documentation</w:t>
      </w:r>
      <w:r w:rsidR="00785130" w:rsidRPr="007851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785130" w:rsidRPr="00785130">
        <w:rPr>
          <w:rFonts w:ascii="Times New Roman" w:hAnsi="Times New Roman" w:cs="Times New Roman"/>
          <w:sz w:val="28"/>
          <w:lang w:val="en-GB"/>
        </w:rPr>
        <w:t>due</w:t>
      </w:r>
      <w:r w:rsidR="00785130" w:rsidRPr="007851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to the fact that the procurement bid is not stitched in accordance with the procedure</w:t>
      </w:r>
      <w:r w:rsidR="007851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specified in 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clause </w:t>
      </w:r>
      <w:r w:rsidR="00785130">
        <w:rPr>
          <w:rFonts w:ascii="Times New Roman" w:hAnsi="Times New Roman" w:cs="Times New Roman"/>
          <w:sz w:val="28"/>
          <w:lang w:val="en-US"/>
        </w:rPr>
        <w:t>5</w:t>
      </w:r>
      <w:r w:rsidR="00785130" w:rsidRPr="00D82DA8">
        <w:rPr>
          <w:rFonts w:ascii="Times New Roman" w:hAnsi="Times New Roman" w:cs="Times New Roman"/>
          <w:sz w:val="28"/>
          <w:lang w:val="en-GB"/>
        </w:rPr>
        <w:t>.</w:t>
      </w:r>
      <w:r w:rsidR="00785130" w:rsidRPr="00785130">
        <w:rPr>
          <w:rFonts w:ascii="Times New Roman" w:hAnsi="Times New Roman" w:cs="Times New Roman"/>
          <w:sz w:val="28"/>
          <w:lang w:val="en-US"/>
        </w:rPr>
        <w:t>10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Part </w:t>
      </w:r>
      <w:r w:rsidR="00785130" w:rsidRPr="00D82DA8">
        <w:rPr>
          <w:rFonts w:ascii="Times New Roman" w:hAnsi="Times New Roman" w:cs="Times New Roman"/>
          <w:sz w:val="28"/>
          <w:lang w:val="en-US"/>
        </w:rPr>
        <w:t>3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Annex 12 of the Rosatom Procurement Standard (Procurement Regulations) and clause </w:t>
      </w:r>
      <w:r w:rsidR="00785130" w:rsidRPr="00785130">
        <w:rPr>
          <w:rFonts w:ascii="Times New Roman" w:hAnsi="Times New Roman" w:cs="Times New Roman"/>
          <w:sz w:val="28"/>
          <w:lang w:val="en-US"/>
        </w:rPr>
        <w:t>5</w:t>
      </w:r>
      <w:r w:rsidR="00785130" w:rsidRPr="00D82DA8">
        <w:rPr>
          <w:rFonts w:ascii="Times New Roman" w:hAnsi="Times New Roman" w:cs="Times New Roman"/>
          <w:sz w:val="28"/>
          <w:lang w:val="en-GB"/>
        </w:rPr>
        <w:t>.</w:t>
      </w:r>
      <w:r w:rsidR="00785130" w:rsidRPr="00785130">
        <w:rPr>
          <w:rFonts w:ascii="Times New Roman" w:hAnsi="Times New Roman" w:cs="Times New Roman"/>
          <w:sz w:val="28"/>
          <w:lang w:val="en-US"/>
        </w:rPr>
        <w:t>10</w:t>
      </w:r>
      <w:r w:rsidR="00785130" w:rsidRPr="00D82DA8">
        <w:rPr>
          <w:rFonts w:ascii="Times New Roman" w:hAnsi="Times New Roman" w:cs="Times New Roman"/>
          <w:sz w:val="28"/>
          <w:lang w:val="en-GB"/>
        </w:rPr>
        <w:t xml:space="preserve"> of Part 2 of Volume 1 of the Procurement documentation</w:t>
      </w:r>
      <w:r w:rsidR="00785130" w:rsidRPr="00785130">
        <w:rPr>
          <w:rFonts w:ascii="Times New Roman" w:hAnsi="Times New Roman" w:cs="Times New Roman"/>
          <w:sz w:val="28"/>
          <w:lang w:val="en-US"/>
        </w:rPr>
        <w:t>.</w:t>
      </w:r>
    </w:p>
    <w:p w14:paraId="09EC6BA9" w14:textId="328E8EE7" w:rsidR="00457CF0" w:rsidRPr="00457CF0" w:rsidRDefault="00457CF0" w:rsidP="00D82DA8">
      <w:pPr>
        <w:keepLines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  <w:lang w:val="en-GB" w:eastAsia="ru-RU"/>
        </w:rPr>
      </w:pPr>
      <w:r>
        <w:rPr>
          <w:rFonts w:ascii="Times New Roman" w:hAnsi="Times New Roman" w:cs="Times New Roman"/>
          <w:sz w:val="28"/>
          <w:lang w:val="en-GB"/>
        </w:rPr>
        <w:t>On</w:t>
      </w:r>
      <w:r w:rsidRPr="006E67C4">
        <w:rPr>
          <w:rFonts w:ascii="Times New Roman" w:hAnsi="Times New Roman" w:cs="Times New Roman"/>
          <w:sz w:val="28"/>
          <w:lang w:val="en-GB"/>
        </w:rPr>
        <w:t xml:space="preserve"> the basis of clause </w:t>
      </w:r>
      <w:r>
        <w:rPr>
          <w:rFonts w:ascii="Times New Roman" w:hAnsi="Times New Roman" w:cs="Times New Roman"/>
          <w:sz w:val="28"/>
          <w:lang w:val="en-GB"/>
        </w:rPr>
        <w:t>7</w:t>
      </w:r>
      <w:r w:rsidRPr="006E67C4">
        <w:rPr>
          <w:rFonts w:ascii="Times New Roman" w:hAnsi="Times New Roman" w:cs="Times New Roman"/>
          <w:sz w:val="28"/>
          <w:lang w:val="en-GB"/>
        </w:rPr>
        <w:t>.</w:t>
      </w:r>
      <w:r>
        <w:rPr>
          <w:rFonts w:ascii="Times New Roman" w:hAnsi="Times New Roman" w:cs="Times New Roman"/>
          <w:sz w:val="28"/>
          <w:lang w:val="en-GB"/>
        </w:rPr>
        <w:t>5</w:t>
      </w:r>
      <w:r w:rsidRPr="006E67C4">
        <w:rPr>
          <w:rFonts w:ascii="Times New Roman" w:hAnsi="Times New Roman" w:cs="Times New Roman"/>
          <w:sz w:val="28"/>
          <w:lang w:val="en-GB"/>
        </w:rPr>
        <w:t xml:space="preserve"> of Part 1 of Annex 12 of the Rosatom Procurement Standard (</w:t>
      </w:r>
      <w:r>
        <w:rPr>
          <w:rFonts w:ascii="Times New Roman" w:hAnsi="Times New Roman" w:cs="Times New Roman"/>
          <w:sz w:val="28"/>
          <w:lang w:val="en-GB"/>
        </w:rPr>
        <w:t>RPMS</w:t>
      </w:r>
      <w:r w:rsidRPr="006E67C4">
        <w:rPr>
          <w:rFonts w:ascii="Times New Roman" w:hAnsi="Times New Roman" w:cs="Times New Roman"/>
          <w:sz w:val="28"/>
          <w:lang w:val="en-GB"/>
        </w:rPr>
        <w:t xml:space="preserve">) and clause </w:t>
      </w:r>
      <w:r>
        <w:rPr>
          <w:rFonts w:ascii="Times New Roman" w:hAnsi="Times New Roman" w:cs="Times New Roman"/>
          <w:sz w:val="28"/>
          <w:lang w:val="en-GB"/>
        </w:rPr>
        <w:t>8</w:t>
      </w:r>
      <w:r w:rsidRPr="006E67C4">
        <w:rPr>
          <w:rFonts w:ascii="Times New Roman" w:hAnsi="Times New Roman" w:cs="Times New Roman"/>
          <w:sz w:val="28"/>
          <w:lang w:val="en-GB"/>
        </w:rPr>
        <w:t>.</w:t>
      </w:r>
      <w:r>
        <w:rPr>
          <w:rFonts w:ascii="Times New Roman" w:hAnsi="Times New Roman" w:cs="Times New Roman"/>
          <w:sz w:val="28"/>
          <w:lang w:val="en-GB"/>
        </w:rPr>
        <w:t>5</w:t>
      </w:r>
      <w:r w:rsidRPr="006E67C4">
        <w:rPr>
          <w:rFonts w:ascii="Times New Roman" w:hAnsi="Times New Roman" w:cs="Times New Roman"/>
          <w:sz w:val="28"/>
          <w:lang w:val="en-GB"/>
        </w:rPr>
        <w:t xml:space="preserve"> of Part 2 of Volume 1 o</w:t>
      </w:r>
      <w:r w:rsidR="00785130">
        <w:rPr>
          <w:rFonts w:ascii="Times New Roman" w:hAnsi="Times New Roman" w:cs="Times New Roman"/>
          <w:sz w:val="28"/>
          <w:lang w:val="en-GB"/>
        </w:rPr>
        <w:t>f the Procurement documentation</w:t>
      </w:r>
      <w:r w:rsidR="00785130">
        <w:rPr>
          <w:rFonts w:ascii="Times New Roman" w:hAnsi="Times New Roman" w:cs="Times New Roman"/>
          <w:sz w:val="28"/>
          <w:lang w:val="en-US"/>
        </w:rPr>
        <w:t>:</w:t>
      </w:r>
    </w:p>
    <w:p w14:paraId="5B7DBD06" w14:textId="267324CB" w:rsidR="00D82DA8" w:rsidRPr="00457CF0" w:rsidRDefault="00D82DA8" w:rsidP="00457CF0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57C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To send to the procurement bidder Transitional Markets Consultancy LLP </w:t>
      </w:r>
      <w:r w:rsidR="00457CF0" w:rsidRPr="00457C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request for missing documents</w:t>
      </w:r>
      <w:r w:rsidRPr="00457C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14:paraId="762357A8" w14:textId="77777777" w:rsidR="00CD147E" w:rsidRDefault="00CD147E" w:rsidP="00CD147E">
      <w:pPr>
        <w:keepLines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CD147E">
        <w:rPr>
          <w:rFonts w:ascii="Times New Roman" w:hAnsi="Times New Roman" w:cs="Times New Roman"/>
          <w:sz w:val="28"/>
          <w:lang w:val="en-GB"/>
        </w:rPr>
        <w:t>To extend of the term of consideration of the bids at the selection stage</w:t>
      </w:r>
      <w:r>
        <w:rPr>
          <w:rFonts w:ascii="Times New Roman" w:hAnsi="Times New Roman" w:cs="Times New Roman"/>
          <w:sz w:val="28"/>
          <w:lang w:val="en-GB"/>
        </w:rPr>
        <w:t xml:space="preserve"> and evaluation </w:t>
      </w:r>
    </w:p>
    <w:p w14:paraId="52AE2DD4" w14:textId="5E1BD9D0" w:rsidR="00D82DA8" w:rsidRDefault="00CD147E" w:rsidP="00CD147E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D147E">
        <w:rPr>
          <w:rFonts w:ascii="Times New Roman" w:hAnsi="Times New Roman" w:cs="Times New Roman"/>
          <w:sz w:val="28"/>
          <w:lang w:val="en-GB"/>
        </w:rPr>
        <w:t>the selection stage</w:t>
      </w:r>
      <w:r>
        <w:rPr>
          <w:rFonts w:ascii="Times New Roman" w:hAnsi="Times New Roman" w:cs="Times New Roman"/>
          <w:sz w:val="28"/>
          <w:lang w:val="en-GB"/>
        </w:rPr>
        <w:t xml:space="preserve">: </w:t>
      </w:r>
      <w:r w:rsidRPr="00CD147E">
        <w:rPr>
          <w:rFonts w:ascii="Times New Roman" w:hAnsi="Times New Roman" w:cs="Times New Roman"/>
          <w:sz w:val="28"/>
          <w:lang w:val="en-GB"/>
        </w:rPr>
        <w:t xml:space="preserve">no later than </w:t>
      </w:r>
      <w:r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till December 18, 2018.</w:t>
      </w:r>
    </w:p>
    <w:p w14:paraId="6D7FE5B7" w14:textId="0C220151" w:rsidR="00CD147E" w:rsidRPr="00CD147E" w:rsidRDefault="00CD147E" w:rsidP="00CD147E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evaluation</w:t>
      </w:r>
      <w:r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stage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  <w:r w:rsidRPr="00CD147E">
        <w:rPr>
          <w:rFonts w:ascii="Times New Roman" w:hAnsi="Times New Roman" w:cs="Times New Roman"/>
          <w:sz w:val="28"/>
          <w:lang w:val="en-GB"/>
        </w:rPr>
        <w:t xml:space="preserve"> no later than </w:t>
      </w:r>
      <w:r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till December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25</w:t>
      </w:r>
      <w:r w:rsidRPr="00CD14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 2018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14:paraId="0C934C53" w14:textId="77777777" w:rsidR="00B52814" w:rsidRPr="00A475A7" w:rsidRDefault="00B528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14:paraId="09E3CFD1" w14:textId="77777777" w:rsidR="00B52814" w:rsidRPr="00A475A7" w:rsidRDefault="00B528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52814" w:rsidRPr="00A475A7">
      <w:footerReference w:type="default" r:id="rId10"/>
      <w:pgSz w:w="11906" w:h="16838"/>
      <w:pgMar w:top="993" w:right="851" w:bottom="1418" w:left="1418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ACC3" w14:textId="77777777" w:rsidR="000B6F8C" w:rsidRDefault="000B6F8C">
      <w:pPr>
        <w:spacing w:after="0" w:line="240" w:lineRule="auto"/>
      </w:pPr>
      <w:r>
        <w:separator/>
      </w:r>
    </w:p>
  </w:endnote>
  <w:endnote w:type="continuationSeparator" w:id="0">
    <w:p w14:paraId="413445F3" w14:textId="77777777" w:rsidR="000B6F8C" w:rsidRDefault="000B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608" w14:textId="77777777" w:rsidR="00785130" w:rsidRPr="00785130" w:rsidRDefault="00785130" w:rsidP="00785130">
    <w:pPr>
      <w:pStyle w:val="a0"/>
      <w:widowControl w:val="0"/>
      <w:spacing w:after="0"/>
      <w:jc w:val="center"/>
      <w:outlineLvl w:val="0"/>
      <w:rPr>
        <w:bCs/>
        <w:sz w:val="16"/>
        <w:szCs w:val="16"/>
      </w:rPr>
    </w:pPr>
    <w:r w:rsidRPr="00785130">
      <w:rPr>
        <w:bCs/>
        <w:sz w:val="16"/>
        <w:szCs w:val="16"/>
      </w:rPr>
      <w:t>MINUTES No. 2018/39-2</w:t>
    </w:r>
  </w:p>
  <w:p w14:paraId="5E321899" w14:textId="116CF696" w:rsidR="000721E3" w:rsidRPr="00F4415A" w:rsidRDefault="00785130" w:rsidP="00785130">
    <w:pPr>
      <w:pStyle w:val="a0"/>
      <w:widowControl w:val="0"/>
      <w:spacing w:after="0"/>
      <w:jc w:val="center"/>
      <w:outlineLvl w:val="0"/>
      <w:rPr>
        <w:bCs/>
        <w:sz w:val="16"/>
        <w:szCs w:val="16"/>
      </w:rPr>
    </w:pPr>
    <w:r w:rsidRPr="00785130">
      <w:rPr>
        <w:bCs/>
        <w:sz w:val="16"/>
        <w:szCs w:val="16"/>
      </w:rPr>
      <w:t>The meeting of the procurement committee for consideration of bids at the selection stage of the public request for proposals for the right to conclude a contract the rendering services of informational support in Egypt for 2019</w:t>
    </w:r>
  </w:p>
  <w:p w14:paraId="42E680C5" w14:textId="6D48025B" w:rsidR="000721E3" w:rsidRDefault="000721E3">
    <w:pPr>
      <w:pStyle w:val="a8"/>
      <w:jc w:val="center"/>
      <w:rPr>
        <w:lang w:val="en-US"/>
      </w:rPr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D379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6D379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DFC9" w14:textId="77777777" w:rsidR="000B6F8C" w:rsidRDefault="000B6F8C">
      <w:pPr>
        <w:spacing w:after="0" w:line="240" w:lineRule="auto"/>
      </w:pPr>
      <w:r>
        <w:separator/>
      </w:r>
    </w:p>
  </w:footnote>
  <w:footnote w:type="continuationSeparator" w:id="0">
    <w:p w14:paraId="71CF0925" w14:textId="77777777" w:rsidR="000B6F8C" w:rsidRDefault="000B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D801C4"/>
    <w:multiLevelType w:val="hybridMultilevel"/>
    <w:tmpl w:val="E00E1B1E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B1005"/>
    <w:multiLevelType w:val="hybridMultilevel"/>
    <w:tmpl w:val="642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8" w15:restartNumberingAfterBreak="0">
    <w:nsid w:val="27482CA6"/>
    <w:multiLevelType w:val="hybridMultilevel"/>
    <w:tmpl w:val="CC64B9EA"/>
    <w:lvl w:ilvl="0" w:tplc="04190017">
      <w:start w:val="1"/>
      <w:numFmt w:val="lowerLett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0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536F"/>
    <w:multiLevelType w:val="multilevel"/>
    <w:tmpl w:val="11C655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9F51A0"/>
    <w:multiLevelType w:val="hybridMultilevel"/>
    <w:tmpl w:val="576C482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9" w15:restartNumberingAfterBreak="0">
    <w:nsid w:val="594859AF"/>
    <w:multiLevelType w:val="hybridMultilevel"/>
    <w:tmpl w:val="9F982F9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B512F"/>
    <w:multiLevelType w:val="multilevel"/>
    <w:tmpl w:val="7E76EF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  <w:num w:numId="19">
    <w:abstractNumId w:val="15"/>
  </w:num>
  <w:num w:numId="20">
    <w:abstractNumId w:val="20"/>
  </w:num>
  <w:num w:numId="21">
    <w:abstractNumId w:val="8"/>
  </w:num>
  <w:num w:numId="22">
    <w:abstractNumId w:val="5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14"/>
    <w:rsid w:val="0000380D"/>
    <w:rsid w:val="00037701"/>
    <w:rsid w:val="000721E3"/>
    <w:rsid w:val="000B6F8C"/>
    <w:rsid w:val="001B4173"/>
    <w:rsid w:val="00294B4B"/>
    <w:rsid w:val="00457CF0"/>
    <w:rsid w:val="00543A3F"/>
    <w:rsid w:val="0068349E"/>
    <w:rsid w:val="006C15EA"/>
    <w:rsid w:val="006D3797"/>
    <w:rsid w:val="006E73C4"/>
    <w:rsid w:val="00707193"/>
    <w:rsid w:val="00785130"/>
    <w:rsid w:val="00890719"/>
    <w:rsid w:val="008E54DF"/>
    <w:rsid w:val="00A475A7"/>
    <w:rsid w:val="00A54385"/>
    <w:rsid w:val="00B444CD"/>
    <w:rsid w:val="00B52814"/>
    <w:rsid w:val="00BD4592"/>
    <w:rsid w:val="00CD147E"/>
    <w:rsid w:val="00D82DA8"/>
    <w:rsid w:val="00D831BA"/>
    <w:rsid w:val="00DD2CD7"/>
    <w:rsid w:val="00E11A2B"/>
    <w:rsid w:val="00F36A8A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5EEAA"/>
  <w15:docId w15:val="{9D211F21-F008-4E2D-8ECE-A1BD356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0"/>
    <w:qFormat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uiPriority w:val="99"/>
    <w:qFormat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1"/>
    <w:qFormat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1"/>
    <w:link w:val="3"/>
    <w:uiPriority w:val="99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1">
    <w:name w:val="Заголовок 4 Знак"/>
    <w:basedOn w:val="a1"/>
    <w:link w:val="4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1">
    <w:name w:val="Нет списка1"/>
    <w:next w:val="a3"/>
    <w:uiPriority w:val="99"/>
    <w:semiHidden/>
    <w:unhideWhenUsed/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a">
    <w:name w:val="annotation reference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0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link w:val="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a"/>
    <w:next w:val="a0"/>
    <w:uiPriority w:val="5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a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a0"/>
    <w:qFormat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pPr>
      <w:numPr>
        <w:numId w:val="4"/>
      </w:numPr>
    </w:pPr>
  </w:style>
  <w:style w:type="character" w:styleId="af1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laceholder Text"/>
    <w:uiPriority w:val="99"/>
    <w:semiHidden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Pr>
      <w:rFonts w:cs="Times New Roman"/>
      <w:vertAlign w:val="superscript"/>
    </w:rPr>
  </w:style>
  <w:style w:type="table" w:styleId="af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_3,Подпись рисунка,ПКФ Список,Абзац списка5"/>
    <w:basedOn w:val="a"/>
    <w:link w:val="af8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Заголовок_3 Знак,Подпись рисунка Знак,ПКФ Список Знак,Абзац списка5 Знак"/>
    <w:link w:val="af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Пункт_4 Знак"/>
    <w:link w:val="40"/>
    <w:uiPriority w:val="99"/>
    <w:locked/>
    <w:rPr>
      <w:rFonts w:ascii="Calibri" w:hAnsi="Calibri"/>
      <w:sz w:val="28"/>
      <w:szCs w:val="28"/>
    </w:rPr>
  </w:style>
  <w:style w:type="paragraph" w:customStyle="1" w:styleId="40">
    <w:name w:val="Пункт_4"/>
    <w:basedOn w:val="a"/>
    <w:link w:val="42"/>
    <w:uiPriority w:val="99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</w:style>
  <w:style w:type="character" w:styleId="af9">
    <w:name w:val="FollowedHyperlink"/>
    <w:uiPriority w:val="99"/>
    <w:semiHidden/>
    <w:unhideWhenUsed/>
    <w:rPr>
      <w:color w:val="800080"/>
      <w:u w:val="single"/>
    </w:rPr>
  </w:style>
  <w:style w:type="paragraph" w:customStyle="1" w:styleId="310">
    <w:name w:val="Основной текст 31"/>
    <w:basedOn w:val="a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5">
    <w:name w:val="Сетка таблицы3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43">
    <w:name w:val="Сетка таблицы4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Стиль3"/>
    <w:basedOn w:val="25"/>
    <w:rsid w:val="0089071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9071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90719"/>
  </w:style>
  <w:style w:type="paragraph" w:customStyle="1" w:styleId="Default">
    <w:name w:val="Default"/>
    <w:rsid w:val="00D8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6AC0-EDAF-484A-8CD4-C27E66D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Астахова Мария</cp:lastModifiedBy>
  <cp:revision>4</cp:revision>
  <cp:lastPrinted>2018-08-09T16:05:00Z</cp:lastPrinted>
  <dcterms:created xsi:type="dcterms:W3CDTF">2018-12-11T11:51:00Z</dcterms:created>
  <dcterms:modified xsi:type="dcterms:W3CDTF">2018-12-11T12:54:00Z</dcterms:modified>
</cp:coreProperties>
</file>