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E4DF" w14:textId="77777777" w:rsidR="00B52814" w:rsidRPr="00765053" w:rsidRDefault="006C15EA" w:rsidP="006C15EA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65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MINUTES</w:t>
      </w:r>
      <w:r w:rsidR="00E11A2B" w:rsidRPr="00765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65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No.</w:t>
      </w:r>
      <w:r w:rsidR="00F916DB" w:rsidRPr="0076505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0D7CE0" w:rsidRPr="00765053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80407/16-</w:t>
      </w:r>
      <w:r w:rsidR="009456DE" w:rsidRPr="00765053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2</w:t>
      </w:r>
    </w:p>
    <w:p w14:paraId="3F44F0EA" w14:textId="77777777" w:rsidR="00B52814" w:rsidRPr="00765053" w:rsidRDefault="00067425" w:rsidP="000A3C29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65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the meeting of the procurement committee about consideration of the bids at the selection stage of the public one stage request for proposals without pre-qualification selection for the right to conclude a contract for </w:t>
      </w:r>
      <w:r w:rsidR="000D7CE0" w:rsidRPr="00765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rendering services of informational support in Turkey.</w:t>
      </w:r>
    </w:p>
    <w:p w14:paraId="52DB19CC" w14:textId="77777777" w:rsidR="00B52814" w:rsidRPr="00765053" w:rsidRDefault="00B528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14:paraId="3A798A51" w14:textId="77777777" w:rsidR="00B52814" w:rsidRPr="00765053" w:rsidRDefault="00067425">
      <w:pPr>
        <w:widowControl w:val="0"/>
        <w:tabs>
          <w:tab w:val="left" w:pos="252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65053">
        <w:rPr>
          <w:rFonts w:ascii="Times New Roman" w:eastAsia="Times New Roman" w:hAnsi="Times New Roman" w:cs="Times New Roman"/>
          <w:sz w:val="28"/>
          <w:szCs w:val="28"/>
          <w:lang w:val="en-IN"/>
        </w:rPr>
        <w:t>Dubai</w:t>
      </w:r>
      <w:r w:rsidR="000721E3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D641F4" w:rsidRPr="00765053">
        <w:rPr>
          <w:rFonts w:ascii="Times New Roman" w:eastAsia="Times New Roman" w:hAnsi="Times New Roman" w:cs="Times New Roman"/>
          <w:sz w:val="28"/>
          <w:szCs w:val="28"/>
          <w:lang w:val="en-US"/>
        </w:rPr>
        <w:t>date of signing:</w:t>
      </w:r>
      <w:r w:rsidR="00D641F4" w:rsidRPr="00765053">
        <w:rPr>
          <w:lang w:val="en-US"/>
        </w:rPr>
        <w:t xml:space="preserve"> </w:t>
      </w:r>
      <w:r w:rsidR="000D7CE0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July</w:t>
      </w:r>
      <w:r w:rsidR="00A84717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B13DAE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08</w:t>
      </w:r>
      <w:r w:rsidR="00DA69D3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="00DE2797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202</w:t>
      </w:r>
      <w:r w:rsidR="000D7CE0" w:rsidRPr="007650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</w:p>
    <w:p w14:paraId="63BC0BC8" w14:textId="77777777" w:rsidR="00B52814" w:rsidRPr="00765053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401CE700" w14:textId="77777777" w:rsidR="00AF08F2" w:rsidRPr="00765053" w:rsidRDefault="00332C67" w:rsidP="00AF08F2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</w:pPr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ab/>
      </w:r>
      <w:r w:rsidR="00067425"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The procurement is being held in accordance with Rosatom Procurement Standard (Procurement Regulations), as amended by Resolution of the Supervisory Board of Rosatom State Corporation (Minutes dated 07.02.2012 № 37) in the revision indicated in the procurement documentation.</w:t>
      </w:r>
    </w:p>
    <w:p w14:paraId="2FD6C1B1" w14:textId="77777777" w:rsidR="00B52814" w:rsidRPr="00765053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IN" w:eastAsia="ru-RU"/>
        </w:rPr>
      </w:pPr>
    </w:p>
    <w:tbl>
      <w:tblPr>
        <w:tblStyle w:val="a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A84717" w:rsidRPr="00765053" w14:paraId="6CA37546" w14:textId="77777777" w:rsidTr="003F4A04">
        <w:tc>
          <w:tcPr>
            <w:tcW w:w="10353" w:type="dxa"/>
          </w:tcPr>
          <w:p w14:paraId="5CD18335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b/>
                <w:sz w:val="28"/>
                <w:szCs w:val="28"/>
                <w:lang w:val="en-IN" w:eastAsia="ar-SA"/>
              </w:rPr>
            </w:pPr>
            <w:proofErr w:type="spellStart"/>
            <w:r w:rsidRPr="00765053">
              <w:rPr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765053">
              <w:rPr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A84717" w:rsidRPr="004B3CD3" w14:paraId="2FDA2DE1" w14:textId="77777777" w:rsidTr="003F4A04">
        <w:tc>
          <w:tcPr>
            <w:tcW w:w="10353" w:type="dxa"/>
          </w:tcPr>
          <w:p w14:paraId="55D6E348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iCs/>
                <w:sz w:val="28"/>
                <w:szCs w:val="28"/>
                <w:lang w:val="en-IN" w:eastAsia="ar-SA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>The Customer acting as Procurement Organizer</w:t>
            </w:r>
            <w:r w:rsidR="00607831" w:rsidRPr="00765053">
              <w:rPr>
                <w:sz w:val="28"/>
                <w:szCs w:val="28"/>
                <w:lang w:val="en-US"/>
              </w:rPr>
              <w:t xml:space="preserve"> </w:t>
            </w:r>
            <w:r w:rsidR="00995F9B" w:rsidRPr="00765053">
              <w:rPr>
                <w:sz w:val="28"/>
                <w:szCs w:val="28"/>
                <w:lang w:val="en-US"/>
              </w:rPr>
              <w:t>Rosatom Middle East and North Africa FZ LLC.</w:t>
            </w:r>
          </w:p>
        </w:tc>
      </w:tr>
      <w:tr w:rsidR="00A84717" w:rsidRPr="004B3CD3" w14:paraId="1A933E8A" w14:textId="77777777" w:rsidTr="003F4A04">
        <w:tc>
          <w:tcPr>
            <w:tcW w:w="10353" w:type="dxa"/>
          </w:tcPr>
          <w:p w14:paraId="601ED9B8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sz w:val="28"/>
                <w:szCs w:val="28"/>
                <w:lang w:val="en-IN"/>
              </w:rPr>
            </w:pPr>
            <w:r w:rsidRPr="00765053">
              <w:rPr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Pr="00765053">
              <w:rPr>
                <w:b/>
                <w:sz w:val="28"/>
                <w:szCs w:val="28"/>
                <w:lang w:val="en-US"/>
              </w:rPr>
              <w:t>of procurement procedure</w:t>
            </w:r>
            <w:r w:rsidRPr="00765053">
              <w:rPr>
                <w:b/>
                <w:sz w:val="28"/>
                <w:szCs w:val="28"/>
                <w:lang w:val="en-IN" w:eastAsia="ar-SA"/>
              </w:rPr>
              <w:t>:</w:t>
            </w:r>
            <w:r w:rsidRPr="00765053">
              <w:rPr>
                <w:sz w:val="28"/>
                <w:szCs w:val="28"/>
                <w:lang w:val="en-IN" w:eastAsia="ar-SA"/>
              </w:rPr>
              <w:t xml:space="preserve"> </w:t>
            </w:r>
            <w:r w:rsidR="00995F9B" w:rsidRPr="00765053">
              <w:rPr>
                <w:sz w:val="28"/>
                <w:szCs w:val="28"/>
                <w:lang w:val="en-US"/>
              </w:rPr>
              <w:t>Public one stage request for proposals without pre-qualification selection.</w:t>
            </w:r>
          </w:p>
        </w:tc>
      </w:tr>
      <w:tr w:rsidR="00A84717" w:rsidRPr="004B3CD3" w14:paraId="3FF4F2DE" w14:textId="77777777" w:rsidTr="003F4A04">
        <w:tc>
          <w:tcPr>
            <w:tcW w:w="10353" w:type="dxa"/>
          </w:tcPr>
          <w:p w14:paraId="1DD2EDAE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>Subject matter of the procurement:</w:t>
            </w:r>
            <w:r w:rsidRPr="00765053">
              <w:rPr>
                <w:sz w:val="28"/>
                <w:szCs w:val="28"/>
                <w:lang w:val="en-US"/>
              </w:rPr>
              <w:t xml:space="preserve"> </w:t>
            </w:r>
            <w:r w:rsidR="00995F9B" w:rsidRPr="00765053">
              <w:rPr>
                <w:sz w:val="28"/>
                <w:szCs w:val="28"/>
                <w:lang w:val="en-US"/>
              </w:rPr>
              <w:t>the right to conclude a contract for rendering services of informational support in Turkey.</w:t>
            </w:r>
          </w:p>
        </w:tc>
      </w:tr>
      <w:tr w:rsidR="00A84717" w:rsidRPr="004B3CD3" w14:paraId="4F174DF2" w14:textId="77777777" w:rsidTr="003F4A04">
        <w:tc>
          <w:tcPr>
            <w:tcW w:w="10353" w:type="dxa"/>
          </w:tcPr>
          <w:p w14:paraId="33161381" w14:textId="77777777" w:rsidR="00373A75" w:rsidRPr="00765053" w:rsidRDefault="00A84717" w:rsidP="00670E58">
            <w:pPr>
              <w:pStyle w:val="af7"/>
              <w:tabs>
                <w:tab w:val="left" w:pos="150"/>
                <w:tab w:val="left" w:pos="1134"/>
              </w:tabs>
              <w:ind w:left="150"/>
              <w:jc w:val="both"/>
              <w:rPr>
                <w:sz w:val="28"/>
                <w:szCs w:val="28"/>
                <w:lang w:val="en-US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="00373A75" w:rsidRPr="00765053">
              <w:rPr>
                <w:sz w:val="28"/>
                <w:szCs w:val="28"/>
                <w:lang w:val="en-US"/>
              </w:rPr>
              <w:t>rendering services of informational support in Turkey.</w:t>
            </w:r>
          </w:p>
          <w:p w14:paraId="70F70212" w14:textId="0CA718A4" w:rsidR="00A84717" w:rsidRPr="00765053" w:rsidRDefault="00A84717" w:rsidP="00670E58">
            <w:pPr>
              <w:pStyle w:val="af7"/>
              <w:tabs>
                <w:tab w:val="left" w:pos="150"/>
                <w:tab w:val="left" w:pos="1134"/>
              </w:tabs>
              <w:ind w:left="15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765053">
              <w:rPr>
                <w:b/>
                <w:sz w:val="28"/>
                <w:szCs w:val="28"/>
                <w:lang w:val="en"/>
              </w:rPr>
              <w:t xml:space="preserve">The initial (maximum) contract price: </w:t>
            </w:r>
            <w:r w:rsidR="000B524D" w:rsidRPr="00765053">
              <w:rPr>
                <w:sz w:val="28"/>
                <w:szCs w:val="28"/>
                <w:lang w:val="en-US"/>
              </w:rPr>
              <w:t>482 366</w:t>
            </w:r>
            <w:r w:rsidR="00280C06" w:rsidRPr="00765053">
              <w:rPr>
                <w:sz w:val="28"/>
                <w:szCs w:val="28"/>
                <w:lang w:val="en-US"/>
              </w:rPr>
              <w:t>, 66</w:t>
            </w:r>
            <w:r w:rsidR="000B524D" w:rsidRPr="00765053">
              <w:rPr>
                <w:sz w:val="28"/>
                <w:szCs w:val="28"/>
                <w:lang w:val="en-US"/>
              </w:rPr>
              <w:t xml:space="preserve"> Euros, including VAT and all applicable taxes.</w:t>
            </w:r>
          </w:p>
        </w:tc>
      </w:tr>
      <w:tr w:rsidR="00A84717" w:rsidRPr="004B3CD3" w14:paraId="073732FF" w14:textId="77777777" w:rsidTr="003F4A04">
        <w:tc>
          <w:tcPr>
            <w:tcW w:w="10353" w:type="dxa"/>
          </w:tcPr>
          <w:p w14:paraId="4C161BD9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DE2797" w:rsidRPr="00765053">
              <w:rPr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A84717" w:rsidRPr="004B3CD3" w14:paraId="41BAC328" w14:textId="77777777" w:rsidTr="003F4A04">
        <w:tc>
          <w:tcPr>
            <w:tcW w:w="10353" w:type="dxa"/>
          </w:tcPr>
          <w:p w14:paraId="6BAC07F9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765053">
              <w:rPr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A84717" w:rsidRPr="004B3CD3" w14:paraId="39DC8752" w14:textId="77777777" w:rsidTr="003F4A04">
        <w:tc>
          <w:tcPr>
            <w:tcW w:w="10353" w:type="dxa"/>
          </w:tcPr>
          <w:p w14:paraId="34DDBE5B" w14:textId="77777777" w:rsidR="00A84717" w:rsidRPr="00765053" w:rsidRDefault="00A84717" w:rsidP="00A84717">
            <w:pPr>
              <w:tabs>
                <w:tab w:val="left" w:pos="150"/>
              </w:tabs>
              <w:ind w:left="15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765053">
              <w:rPr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765053">
              <w:rPr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</w:tbl>
    <w:p w14:paraId="5C401B98" w14:textId="77777777" w:rsidR="0068349E" w:rsidRPr="00765053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14:paraId="226F8903" w14:textId="77777777" w:rsidR="006C15EA" w:rsidRPr="00765053" w:rsidRDefault="00332C67" w:rsidP="000B524D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IN"/>
        </w:rPr>
      </w:pPr>
      <w:r w:rsidRPr="00765053">
        <w:rPr>
          <w:rFonts w:ascii="Times New Roman" w:hAnsi="Times New Roman" w:cs="Times New Roman"/>
          <w:sz w:val="28"/>
          <w:szCs w:val="28"/>
          <w:lang w:val="en-IN"/>
        </w:rPr>
        <w:tab/>
      </w:r>
      <w:r w:rsidR="000B524D"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The public notice about request for proposals and the procurement documentation were published on “18” of June 2021 on the Internet on the official site </w:t>
      </w:r>
      <w:r w:rsidR="000B524D" w:rsidRPr="00765053">
        <w:rPr>
          <w:rFonts w:ascii="Times New Roman" w:hAnsi="Times New Roman" w:cs="Times New Roman"/>
          <w:sz w:val="28"/>
          <w:szCs w:val="28"/>
          <w:u w:val="single"/>
          <w:lang w:val="en-IN"/>
        </w:rPr>
        <w:t>zakupki.rosatom.ru</w:t>
      </w:r>
      <w:r w:rsidR="000B524D"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 (№210618/5534/039) and on the regional site </w:t>
      </w:r>
      <w:r w:rsidR="000B524D" w:rsidRPr="00765053">
        <w:rPr>
          <w:rFonts w:ascii="Times New Roman" w:hAnsi="Times New Roman" w:cs="Times New Roman"/>
          <w:sz w:val="28"/>
          <w:szCs w:val="28"/>
          <w:u w:val="single"/>
          <w:lang w:val="en-IN"/>
        </w:rPr>
        <w:t>http://rosatom-mena.com.</w:t>
      </w:r>
    </w:p>
    <w:p w14:paraId="2BE7F60F" w14:textId="77777777" w:rsidR="00332C67" w:rsidRPr="00765053" w:rsidRDefault="00332C67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 w:eastAsia="ar-SA"/>
        </w:rPr>
      </w:pPr>
    </w:p>
    <w:p w14:paraId="7CD7593D" w14:textId="0934EA4D" w:rsidR="00332C67" w:rsidRDefault="000B52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The meeting of the Procurement Committee is being held at 12:00 (Local time) on </w:t>
      </w:r>
      <w:r w:rsidRPr="0076505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456DE" w:rsidRPr="00765053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76505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 of </w:t>
      </w:r>
      <w:r w:rsidRPr="00765053">
        <w:rPr>
          <w:rFonts w:ascii="Times New Roman" w:hAnsi="Times New Roman" w:cs="Times New Roman"/>
          <w:sz w:val="28"/>
          <w:szCs w:val="28"/>
          <w:lang w:val="en-US"/>
        </w:rPr>
        <w:t>Ju</w:t>
      </w:r>
      <w:r w:rsidR="009456DE" w:rsidRPr="0076505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76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5053">
        <w:rPr>
          <w:rFonts w:ascii="Times New Roman" w:hAnsi="Times New Roman" w:cs="Times New Roman"/>
          <w:sz w:val="28"/>
          <w:szCs w:val="28"/>
          <w:lang w:val="en-IN"/>
        </w:rPr>
        <w:t>2021 at the address: Office 1108A, Business Central Towers, DIC, Dubai, UAE, P/O 500705.</w:t>
      </w:r>
    </w:p>
    <w:p w14:paraId="13C44563" w14:textId="5185AA98" w:rsidR="004B3CD3" w:rsidRPr="00765053" w:rsidRDefault="004B3CD3" w:rsidP="004B3C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053">
        <w:rPr>
          <w:rFonts w:ascii="Times New Roman" w:hAnsi="Times New Roman" w:cs="Times New Roman"/>
          <w:sz w:val="28"/>
          <w:szCs w:val="28"/>
          <w:lang w:val="en-IN"/>
        </w:rPr>
        <w:t>The quorum is present.</w:t>
      </w:r>
    </w:p>
    <w:p w14:paraId="4FC65B59" w14:textId="351D7BCF" w:rsidR="006C15EA" w:rsidRPr="00765053" w:rsidRDefault="006C1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bookmarkStart w:id="0" w:name="_GoBack"/>
      <w:bookmarkEnd w:id="0"/>
    </w:p>
    <w:p w14:paraId="07AB4EC3" w14:textId="77777777" w:rsidR="00B52814" w:rsidRPr="00765053" w:rsidRDefault="00A54385" w:rsidP="009450A3">
      <w:pPr>
        <w:keepLines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According to </w:t>
      </w:r>
      <w:r w:rsidR="0068349E"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</w:t>
      </w: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minutes of opening of envelops with </w:t>
      </w:r>
      <w:r w:rsidR="0068349E"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№</w:t>
      </w:r>
      <w:r w:rsidR="009450A3"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80407/16-1 </w:t>
      </w: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="000721E3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450A3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June 30</w:t>
      </w:r>
      <w:r w:rsidR="00A84717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0721E3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</w:t>
      </w:r>
      <w:r w:rsidR="00A42F5D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9450A3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721E3" w:rsidRPr="0076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65053">
        <w:rPr>
          <w:rFonts w:ascii="Times New Roman" w:hAnsi="Times New Roman" w:cs="Times New Roman"/>
          <w:sz w:val="28"/>
          <w:szCs w:val="28"/>
          <w:lang w:val="en-IN"/>
        </w:rPr>
        <w:t>totally were submitted</w:t>
      </w: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envelops with </w:t>
      </w:r>
      <w:r w:rsidR="0068349E"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76505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by the following bidders: </w:t>
      </w:r>
    </w:p>
    <w:p w14:paraId="51F931C1" w14:textId="77777777" w:rsidR="00607831" w:rsidRPr="00765053" w:rsidRDefault="00607831" w:rsidP="00607831">
      <w:pPr>
        <w:keepLines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Style w:val="af6"/>
        <w:tblW w:w="10060" w:type="dxa"/>
        <w:tblLook w:val="04A0" w:firstRow="1" w:lastRow="0" w:firstColumn="1" w:lastColumn="0" w:noHBand="0" w:noVBand="1"/>
      </w:tblPr>
      <w:tblGrid>
        <w:gridCol w:w="1336"/>
        <w:gridCol w:w="2807"/>
        <w:gridCol w:w="3119"/>
        <w:gridCol w:w="2798"/>
      </w:tblGrid>
      <w:tr w:rsidR="00556F54" w:rsidRPr="004B3CD3" w14:paraId="72377005" w14:textId="77777777" w:rsidTr="00736724">
        <w:trPr>
          <w:trHeight w:val="1868"/>
        </w:trPr>
        <w:tc>
          <w:tcPr>
            <w:tcW w:w="1336" w:type="dxa"/>
            <w:vAlign w:val="center"/>
          </w:tcPr>
          <w:p w14:paraId="5FF6ABAD" w14:textId="77777777" w:rsidR="00556F54" w:rsidRPr="00765053" w:rsidRDefault="00556F54" w:rsidP="008710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  <w:r w:rsidRPr="00765053">
              <w:rPr>
                <w:sz w:val="28"/>
                <w:szCs w:val="28"/>
                <w:lang w:eastAsia="ar-SA"/>
              </w:rPr>
              <w:lastRenderedPageBreak/>
              <w:t>№</w:t>
            </w:r>
            <w:r w:rsidRPr="00765053">
              <w:rPr>
                <w:sz w:val="28"/>
                <w:szCs w:val="28"/>
                <w:lang w:val="en-US" w:eastAsia="ar-SA"/>
              </w:rPr>
              <w:t>as per envelopes register</w:t>
            </w:r>
          </w:p>
        </w:tc>
        <w:tc>
          <w:tcPr>
            <w:tcW w:w="2807" w:type="dxa"/>
            <w:vAlign w:val="center"/>
          </w:tcPr>
          <w:p w14:paraId="44C0B75A" w14:textId="77777777" w:rsidR="009C2452" w:rsidRPr="00765053" w:rsidRDefault="009C2452" w:rsidP="009C2452">
            <w:pPr>
              <w:tabs>
                <w:tab w:val="left" w:pos="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lang w:val="en-IN"/>
              </w:rPr>
            </w:pPr>
            <w:r w:rsidRPr="00765053">
              <w:rPr>
                <w:bCs/>
                <w:color w:val="000000"/>
                <w:sz w:val="28"/>
                <w:szCs w:val="28"/>
                <w:lang w:val="en-IN"/>
              </w:rPr>
              <w:t xml:space="preserve">Name of participant </w:t>
            </w:r>
          </w:p>
          <w:p w14:paraId="152501A3" w14:textId="3046CA7E" w:rsidR="00556F54" w:rsidRPr="00765053" w:rsidRDefault="009C2452" w:rsidP="009C2452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Cs/>
                <w:color w:val="000000"/>
                <w:sz w:val="28"/>
                <w:szCs w:val="28"/>
                <w:lang w:val="en-IN"/>
              </w:rPr>
              <w:t>of public request for proposals</w:t>
            </w:r>
          </w:p>
        </w:tc>
        <w:tc>
          <w:tcPr>
            <w:tcW w:w="3119" w:type="dxa"/>
            <w:vAlign w:val="center"/>
          </w:tcPr>
          <w:p w14:paraId="47BC925F" w14:textId="2C0DDBC4" w:rsidR="00556F54" w:rsidRPr="00765053" w:rsidRDefault="009C2452" w:rsidP="008710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  <w:r w:rsidRPr="00765053">
              <w:rPr>
                <w:bCs/>
                <w:color w:val="000000"/>
                <w:sz w:val="28"/>
                <w:szCs w:val="28"/>
                <w:lang w:val="en-IN"/>
              </w:rPr>
              <w:t>Registered and actual address of participant of public request for proposals</w:t>
            </w:r>
          </w:p>
        </w:tc>
        <w:tc>
          <w:tcPr>
            <w:tcW w:w="2798" w:type="dxa"/>
            <w:vAlign w:val="center"/>
          </w:tcPr>
          <w:p w14:paraId="5F9EFBA1" w14:textId="77777777" w:rsidR="00166A53" w:rsidRPr="00765053" w:rsidRDefault="00166A53" w:rsidP="00166A53">
            <w:pPr>
              <w:pStyle w:val="310"/>
              <w:suppressAutoHyphens w:val="0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IN"/>
              </w:rPr>
            </w:pPr>
            <w:r w:rsidRPr="007650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IN"/>
              </w:rPr>
              <w:t>Price of bid proposed by participant of public request for proposals;</w:t>
            </w:r>
          </w:p>
          <w:p w14:paraId="719813AB" w14:textId="71282BA6" w:rsidR="00556F54" w:rsidRPr="00765053" w:rsidRDefault="00166A53" w:rsidP="00166A53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  <w:r w:rsidRPr="00765053">
              <w:rPr>
                <w:bCs/>
                <w:color w:val="000000"/>
                <w:sz w:val="28"/>
                <w:szCs w:val="28"/>
                <w:lang w:val="en-US"/>
              </w:rPr>
              <w:t>Date and time of submission the bid</w:t>
            </w:r>
          </w:p>
        </w:tc>
      </w:tr>
      <w:tr w:rsidR="007E341E" w:rsidRPr="004B3CD3" w14:paraId="63BD16AF" w14:textId="77777777" w:rsidTr="00486313">
        <w:trPr>
          <w:trHeight w:val="556"/>
        </w:trPr>
        <w:tc>
          <w:tcPr>
            <w:tcW w:w="1336" w:type="dxa"/>
            <w:vMerge w:val="restart"/>
            <w:vAlign w:val="center"/>
          </w:tcPr>
          <w:p w14:paraId="53D1550B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sz w:val="28"/>
                <w:szCs w:val="28"/>
                <w:lang w:val="en-US" w:eastAsia="ar-SA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07" w:type="dxa"/>
            <w:vMerge w:val="restart"/>
            <w:vAlign w:val="center"/>
          </w:tcPr>
          <w:p w14:paraId="20B8701F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Ness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İletişim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Medya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Hiz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Bas. Yay. Org.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veEğt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Bil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  <w:p w14:paraId="5EB22908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sz w:val="28"/>
                <w:szCs w:val="28"/>
                <w:lang w:val="en-US" w:eastAsia="ar-SA"/>
              </w:rPr>
            </w:pP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Turz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inş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Gid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Yay.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DişTic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. Ltd. </w:t>
            </w:r>
            <w:proofErr w:type="spellStart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Şti</w:t>
            </w:r>
            <w:proofErr w:type="spellEnd"/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73DCF497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fi-FI"/>
              </w:rPr>
              <w:t xml:space="preserve">Legal address: </w:t>
            </w:r>
            <w:r w:rsidRPr="00765053">
              <w:rPr>
                <w:bCs/>
                <w:iCs/>
                <w:color w:val="000000"/>
                <w:sz w:val="28"/>
                <w:szCs w:val="28"/>
                <w:lang w:val="fi-FI" w:eastAsia="ar-SA"/>
              </w:rPr>
              <w:t>Aziziye Mah. Platin Sk. Köroğlu Apt. 5/16 Çankaya/ Ankara TURKEY</w:t>
            </w:r>
          </w:p>
        </w:tc>
        <w:tc>
          <w:tcPr>
            <w:tcW w:w="2798" w:type="dxa"/>
            <w:vAlign w:val="center"/>
          </w:tcPr>
          <w:p w14:paraId="7EA03924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en-IN"/>
              </w:rPr>
              <w:t>Price of the bid:</w:t>
            </w:r>
            <w:r w:rsidRPr="00765053">
              <w:rPr>
                <w:bCs/>
                <w:iCs/>
                <w:color w:val="000000"/>
                <w:sz w:val="28"/>
                <w:szCs w:val="28"/>
                <w:lang w:val="en-GB"/>
              </w:rPr>
              <w:t xml:space="preserve"> 476,600.00 EUR including VAT and all applicable taxes</w:t>
            </w:r>
          </w:p>
        </w:tc>
      </w:tr>
      <w:tr w:rsidR="007E341E" w:rsidRPr="004B3CD3" w14:paraId="2B1E7586" w14:textId="77777777" w:rsidTr="009F231D">
        <w:trPr>
          <w:trHeight w:val="1211"/>
        </w:trPr>
        <w:tc>
          <w:tcPr>
            <w:tcW w:w="1336" w:type="dxa"/>
            <w:vMerge/>
            <w:vAlign w:val="center"/>
          </w:tcPr>
          <w:p w14:paraId="681C141C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7" w:type="dxa"/>
            <w:vMerge/>
            <w:vAlign w:val="center"/>
          </w:tcPr>
          <w:p w14:paraId="183C5C87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bCs/>
                <w:i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  <w:vAlign w:val="center"/>
          </w:tcPr>
          <w:p w14:paraId="5EB65F2A" w14:textId="77777777" w:rsidR="007E341E" w:rsidRPr="00765053" w:rsidRDefault="007E341E" w:rsidP="007E341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fi-FI"/>
              </w:rPr>
            </w:pPr>
          </w:p>
        </w:tc>
        <w:tc>
          <w:tcPr>
            <w:tcW w:w="2798" w:type="dxa"/>
            <w:vAlign w:val="center"/>
          </w:tcPr>
          <w:p w14:paraId="156DA9F9" w14:textId="77777777" w:rsidR="007E341E" w:rsidRPr="00765053" w:rsidRDefault="007E341E" w:rsidP="007E341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IN"/>
              </w:rPr>
              <w:t>Date and time of submission the bid: 28.06.2021 12:30 pm</w:t>
            </w:r>
          </w:p>
        </w:tc>
      </w:tr>
      <w:tr w:rsidR="007E341E" w:rsidRPr="004B3CD3" w14:paraId="54D69189" w14:textId="77777777" w:rsidTr="009F231D">
        <w:trPr>
          <w:trHeight w:val="1412"/>
        </w:trPr>
        <w:tc>
          <w:tcPr>
            <w:tcW w:w="1336" w:type="dxa"/>
            <w:vMerge w:val="restart"/>
            <w:vAlign w:val="center"/>
          </w:tcPr>
          <w:p w14:paraId="4A8F54C5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sz w:val="28"/>
                <w:szCs w:val="28"/>
                <w:lang w:val="en-IN" w:eastAsia="ar-SA"/>
              </w:rPr>
              <w:t>2</w:t>
            </w:r>
          </w:p>
        </w:tc>
        <w:tc>
          <w:tcPr>
            <w:tcW w:w="2807" w:type="dxa"/>
            <w:vMerge w:val="restart"/>
          </w:tcPr>
          <w:p w14:paraId="77B3E128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sz w:val="28"/>
                <w:szCs w:val="28"/>
                <w:lang w:val="en-IN" w:eastAsia="ar-SA"/>
              </w:rPr>
              <w:t>CEO EVENT MEDIA A.</w:t>
            </w:r>
            <w:r w:rsidRPr="00765053">
              <w:rPr>
                <w:bCs/>
                <w:iCs/>
                <w:color w:val="000000"/>
                <w:sz w:val="28"/>
                <w:szCs w:val="28"/>
                <w:lang w:val="en-US"/>
              </w:rPr>
              <w:t>Ş.</w:t>
            </w:r>
          </w:p>
        </w:tc>
        <w:tc>
          <w:tcPr>
            <w:tcW w:w="3119" w:type="dxa"/>
            <w:vMerge w:val="restart"/>
          </w:tcPr>
          <w:p w14:paraId="4AD1A255" w14:textId="77777777" w:rsidR="007E341E" w:rsidRPr="00765053" w:rsidRDefault="007E341E" w:rsidP="007E341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fi-FI"/>
              </w:rPr>
              <w:t>Legal address: Balmumcu Mh. Morbasan S</w:t>
            </w: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o</w:t>
            </w: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fi-FI"/>
              </w:rPr>
              <w:t>k.Koza Iş Merkezi B-Blok Kat</w:t>
            </w: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:9</w:t>
            </w:r>
          </w:p>
          <w:p w14:paraId="674D78CF" w14:textId="77777777" w:rsidR="007E341E" w:rsidRPr="00765053" w:rsidRDefault="007E341E" w:rsidP="007E341E">
            <w:pPr>
              <w:pStyle w:val="31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650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fi-FI"/>
              </w:rPr>
              <w:t>Besiktas, Istanbul, Turkey</w:t>
            </w:r>
          </w:p>
        </w:tc>
        <w:tc>
          <w:tcPr>
            <w:tcW w:w="2798" w:type="dxa"/>
          </w:tcPr>
          <w:p w14:paraId="2220868D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en-IN"/>
              </w:rPr>
              <w:t>Price of the bid:</w:t>
            </w:r>
            <w:r w:rsidRPr="00765053">
              <w:rPr>
                <w:bCs/>
                <w:iCs/>
                <w:color w:val="000000"/>
                <w:sz w:val="28"/>
                <w:szCs w:val="28"/>
                <w:lang w:val="en-GB"/>
              </w:rPr>
              <w:t xml:space="preserve"> 465,510.00 EUR including VAT and all applicable taxes</w:t>
            </w:r>
          </w:p>
        </w:tc>
      </w:tr>
      <w:tr w:rsidR="007E341E" w:rsidRPr="004B3CD3" w14:paraId="37B02832" w14:textId="77777777" w:rsidTr="009F231D">
        <w:trPr>
          <w:trHeight w:val="1121"/>
        </w:trPr>
        <w:tc>
          <w:tcPr>
            <w:tcW w:w="1336" w:type="dxa"/>
            <w:vMerge/>
          </w:tcPr>
          <w:p w14:paraId="469A0518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sz w:val="28"/>
                <w:szCs w:val="28"/>
                <w:lang w:val="en-IN" w:eastAsia="ar-SA"/>
              </w:rPr>
            </w:pPr>
          </w:p>
        </w:tc>
        <w:tc>
          <w:tcPr>
            <w:tcW w:w="2807" w:type="dxa"/>
            <w:vMerge/>
          </w:tcPr>
          <w:p w14:paraId="1DC238C5" w14:textId="77777777" w:rsidR="007E341E" w:rsidRPr="00765053" w:rsidRDefault="007E341E" w:rsidP="007E341E">
            <w:pPr>
              <w:tabs>
                <w:tab w:val="left" w:pos="0"/>
              </w:tabs>
              <w:contextualSpacing/>
              <w:rPr>
                <w:sz w:val="28"/>
                <w:szCs w:val="28"/>
                <w:lang w:val="en-IN" w:eastAsia="ar-SA"/>
              </w:rPr>
            </w:pPr>
          </w:p>
        </w:tc>
        <w:tc>
          <w:tcPr>
            <w:tcW w:w="3119" w:type="dxa"/>
            <w:vMerge/>
          </w:tcPr>
          <w:p w14:paraId="3F08A93F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</w:p>
        </w:tc>
        <w:tc>
          <w:tcPr>
            <w:tcW w:w="2798" w:type="dxa"/>
          </w:tcPr>
          <w:p w14:paraId="4A519AE5" w14:textId="77777777" w:rsidR="007E341E" w:rsidRPr="00765053" w:rsidRDefault="007E341E" w:rsidP="007E341E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val="en-IN" w:eastAsia="ar-SA"/>
              </w:rPr>
            </w:pPr>
            <w:r w:rsidRPr="00765053">
              <w:rPr>
                <w:bCs/>
                <w:iCs/>
                <w:color w:val="000000"/>
                <w:sz w:val="28"/>
                <w:szCs w:val="28"/>
                <w:lang w:val="en-IN"/>
              </w:rPr>
              <w:t>Date and time of submission the bid: 30.06.2021 11:00 am</w:t>
            </w:r>
          </w:p>
        </w:tc>
      </w:tr>
    </w:tbl>
    <w:p w14:paraId="7C02DA4E" w14:textId="77777777" w:rsidR="00E00795" w:rsidRPr="00765053" w:rsidRDefault="00E00795" w:rsidP="00E00795">
      <w:pPr>
        <w:pStyle w:val="Default"/>
        <w:jc w:val="both"/>
        <w:rPr>
          <w:lang w:val="en-US"/>
        </w:rPr>
      </w:pPr>
    </w:p>
    <w:p w14:paraId="147DE1DE" w14:textId="77777777" w:rsidR="00E00795" w:rsidRPr="00765053" w:rsidRDefault="00E00795" w:rsidP="00FB6F6D">
      <w:pPr>
        <w:pStyle w:val="Default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765053">
        <w:rPr>
          <w:sz w:val="28"/>
          <w:szCs w:val="28"/>
          <w:lang w:val="en-US"/>
        </w:rPr>
        <w:t xml:space="preserve">Based on the results </w:t>
      </w:r>
      <w:r w:rsidR="00FB6F6D" w:rsidRPr="00765053">
        <w:rPr>
          <w:sz w:val="28"/>
          <w:szCs w:val="28"/>
          <w:lang w:val="en-US"/>
        </w:rPr>
        <w:t>consideration of bids</w:t>
      </w:r>
      <w:r w:rsidRPr="00765053">
        <w:rPr>
          <w:sz w:val="28"/>
          <w:szCs w:val="28"/>
          <w:lang w:val="en-US"/>
        </w:rPr>
        <w:t xml:space="preserve">, the procurement committee made the follow decision: </w:t>
      </w:r>
    </w:p>
    <w:p w14:paraId="3C4EBB1E" w14:textId="77777777" w:rsidR="00FB6F6D" w:rsidRPr="00765053" w:rsidRDefault="00FB6F6D" w:rsidP="00FB6F6D">
      <w:pPr>
        <w:pStyle w:val="Default"/>
        <w:jc w:val="both"/>
        <w:rPr>
          <w:sz w:val="28"/>
          <w:szCs w:val="28"/>
          <w:lang w:val="en-US"/>
        </w:rPr>
      </w:pPr>
    </w:p>
    <w:p w14:paraId="336D53F4" w14:textId="4E157861" w:rsidR="003E6E42" w:rsidRPr="00765053" w:rsidRDefault="003E6E42" w:rsidP="00280C06">
      <w:pPr>
        <w:keepLines/>
        <w:widowControl w:val="0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</w:pPr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To admit the bidder Ness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İletişim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Medya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Hiz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Bas. Yay. Org.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veEğt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Bil.Turz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inş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Gid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Yay.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DişTic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Ltd. </w:t>
      </w:r>
      <w:proofErr w:type="spellStart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Şti</w:t>
      </w:r>
      <w:proofErr w:type="spellEnd"/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. who meets the requirements established by the procurement documentation and who submitted the bid that meets the requirements established by the procurement documentation, to further participation in the request </w:t>
      </w:r>
      <w:r w:rsidR="00280C06" w:rsidRPr="00765053">
        <w:rPr>
          <w:rFonts w:ascii="Times New Roman" w:hAnsi="Times New Roman" w:cs="Times New Roman"/>
          <w:bCs/>
          <w:color w:val="000000"/>
          <w:sz w:val="28"/>
          <w:szCs w:val="28"/>
          <w:lang w:val="en-IN"/>
        </w:rPr>
        <w:t xml:space="preserve">for </w:t>
      </w:r>
      <w:r w:rsidR="00280C06" w:rsidRPr="00765053">
        <w:rPr>
          <w:rFonts w:ascii="Times New Roman" w:hAnsi="Times New Roman" w:cs="Times New Roman"/>
          <w:sz w:val="28"/>
          <w:szCs w:val="28"/>
          <w:lang w:val="en-IN"/>
        </w:rPr>
        <w:t>proposals.</w:t>
      </w:r>
    </w:p>
    <w:p w14:paraId="3B2FF2E1" w14:textId="29F98A67" w:rsidR="00E00795" w:rsidRPr="00765053" w:rsidRDefault="00E00795" w:rsidP="00E00795">
      <w:pPr>
        <w:pStyle w:val="Default"/>
        <w:jc w:val="both"/>
        <w:rPr>
          <w:lang w:val="en-US"/>
        </w:rPr>
      </w:pPr>
    </w:p>
    <w:p w14:paraId="39857D60" w14:textId="71BE3A2A" w:rsidR="00E00795" w:rsidRPr="00765053" w:rsidRDefault="003E6E42" w:rsidP="009B2D9A">
      <w:pPr>
        <w:keepLines/>
        <w:widowControl w:val="0"/>
        <w:numPr>
          <w:ilvl w:val="1"/>
          <w:numId w:val="14"/>
        </w:numPr>
        <w:tabs>
          <w:tab w:val="left" w:pos="851"/>
        </w:tabs>
        <w:spacing w:after="0" w:line="240" w:lineRule="auto"/>
        <w:jc w:val="both"/>
        <w:rPr>
          <w:sz w:val="28"/>
          <w:szCs w:val="28"/>
          <w:lang w:val="en-IN"/>
        </w:rPr>
      </w:pPr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Deny admission to further participation in the public request for</w:t>
      </w:r>
      <w:r w:rsidR="00736724"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36724" w:rsidRPr="00765053">
        <w:rPr>
          <w:rFonts w:ascii="Times New Roman" w:hAnsi="Times New Roman" w:cs="Times New Roman"/>
          <w:sz w:val="28"/>
          <w:szCs w:val="28"/>
          <w:lang w:val="en-US"/>
        </w:rPr>
        <w:t>proposals</w:t>
      </w:r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 to the following bidders of the request </w:t>
      </w:r>
      <w:r w:rsidR="00736724"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for </w:t>
      </w:r>
      <w:r w:rsidR="00736724" w:rsidRPr="00765053">
        <w:rPr>
          <w:rFonts w:ascii="Times New Roman" w:hAnsi="Times New Roman" w:cs="Times New Roman"/>
          <w:sz w:val="28"/>
          <w:szCs w:val="28"/>
          <w:lang w:val="en-US"/>
        </w:rPr>
        <w:t>proposals</w:t>
      </w:r>
      <w:r w:rsidR="00736724" w:rsidRPr="0076505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CEO EVENT MEDIA A.Ş. on the basis of clause 6.6 of Part 3 of Annex 12 of the Rosatom Procurement Standard (Procurement Regulations) and clause 6.5 of Part 2 of Volume 1 of the Procurement documentation, due to the fact that the procurement bid is not stitched in accordance with the procedure specified in clause 5.10 of Part 3 of Annex 12 of the Rosatom Procurement Sta</w:t>
      </w:r>
      <w:r w:rsidR="004C0845" w:rsidRPr="00765053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ndard (Procurement Regulations).</w:t>
      </w:r>
    </w:p>
    <w:p w14:paraId="6C1A5D67" w14:textId="03FC8AFB" w:rsidR="00AF20B3" w:rsidRPr="00765053" w:rsidRDefault="00AF20B3" w:rsidP="00AF20B3">
      <w:pPr>
        <w:pStyle w:val="Default"/>
        <w:rPr>
          <w:sz w:val="28"/>
          <w:szCs w:val="28"/>
          <w:lang w:val="en-US"/>
        </w:rPr>
      </w:pPr>
    </w:p>
    <w:p w14:paraId="4A7E32B4" w14:textId="74760F43" w:rsidR="00AF20B3" w:rsidRPr="00765053" w:rsidRDefault="00E00795" w:rsidP="00AF20B3">
      <w:pPr>
        <w:pStyle w:val="af7"/>
        <w:keepLines/>
        <w:widowControl w:val="0"/>
        <w:tabs>
          <w:tab w:val="left" w:pos="851"/>
        </w:tabs>
        <w:ind w:left="0"/>
        <w:jc w:val="both"/>
        <w:rPr>
          <w:iCs/>
          <w:sz w:val="28"/>
          <w:szCs w:val="28"/>
          <w:lang w:val="en-US" w:eastAsia="ar-SA"/>
        </w:rPr>
      </w:pPr>
      <w:r w:rsidRPr="00765053">
        <w:rPr>
          <w:sz w:val="28"/>
          <w:szCs w:val="28"/>
          <w:lang w:val="en-US"/>
        </w:rPr>
        <w:t xml:space="preserve">Because the only bidder was admitted to the public request </w:t>
      </w:r>
      <w:r w:rsidR="009456DE" w:rsidRPr="00765053">
        <w:rPr>
          <w:sz w:val="28"/>
          <w:szCs w:val="28"/>
          <w:lang w:val="en-US"/>
        </w:rPr>
        <w:t>for proposals selection for</w:t>
      </w:r>
      <w:r w:rsidRPr="00765053">
        <w:rPr>
          <w:sz w:val="28"/>
          <w:szCs w:val="28"/>
          <w:lang w:val="en-US"/>
        </w:rPr>
        <w:t xml:space="preserve">, as per subparagraph b) of paragraph 1.2, part 1 of article 6.4 of Procurement Regulations, the public request </w:t>
      </w:r>
      <w:r w:rsidR="00736724" w:rsidRPr="00765053">
        <w:rPr>
          <w:sz w:val="28"/>
          <w:szCs w:val="28"/>
          <w:lang w:val="en-IN"/>
        </w:rPr>
        <w:t xml:space="preserve">for </w:t>
      </w:r>
      <w:r w:rsidR="00736724" w:rsidRPr="00765053">
        <w:rPr>
          <w:sz w:val="28"/>
          <w:szCs w:val="28"/>
          <w:lang w:val="en-US"/>
        </w:rPr>
        <w:t>proposals</w:t>
      </w:r>
      <w:r w:rsidR="00736724" w:rsidRPr="00765053">
        <w:rPr>
          <w:sz w:val="28"/>
          <w:szCs w:val="28"/>
          <w:lang w:val="en-IN"/>
        </w:rPr>
        <w:t xml:space="preserve"> </w:t>
      </w:r>
      <w:r w:rsidRPr="00765053">
        <w:rPr>
          <w:sz w:val="28"/>
          <w:szCs w:val="28"/>
          <w:lang w:val="en-US"/>
        </w:rPr>
        <w:t>is recognized failed.</w:t>
      </w:r>
    </w:p>
    <w:p w14:paraId="0190D227" w14:textId="2C805ECF" w:rsidR="00B52814" w:rsidRPr="00765053" w:rsidRDefault="00B52814" w:rsidP="007104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DF5F8F3" w14:textId="77777777" w:rsidR="00AF20B3" w:rsidRPr="00A84717" w:rsidRDefault="00AF20B3" w:rsidP="007104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F20B3" w:rsidRPr="00A84717">
      <w:footerReference w:type="default" r:id="rId7"/>
      <w:pgSz w:w="11906" w:h="16838"/>
      <w:pgMar w:top="993" w:right="851" w:bottom="1418" w:left="1418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8FE1" w14:textId="77777777" w:rsidR="00177097" w:rsidRDefault="00177097">
      <w:pPr>
        <w:spacing w:after="0" w:line="240" w:lineRule="auto"/>
      </w:pPr>
      <w:r>
        <w:separator/>
      </w:r>
    </w:p>
  </w:endnote>
  <w:endnote w:type="continuationSeparator" w:id="0">
    <w:p w14:paraId="5FBDB255" w14:textId="77777777" w:rsidR="00177097" w:rsidRDefault="0017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FE69" w14:textId="77777777" w:rsidR="000B524D" w:rsidRPr="000B524D" w:rsidRDefault="009456DE" w:rsidP="000B524D">
    <w:pPr>
      <w:pStyle w:val="a0"/>
      <w:widowControl w:val="0"/>
      <w:spacing w:after="0"/>
      <w:jc w:val="center"/>
      <w:outlineLvl w:val="0"/>
      <w:rPr>
        <w:bCs/>
        <w:sz w:val="16"/>
        <w:szCs w:val="16"/>
      </w:rPr>
    </w:pPr>
    <w:r>
      <w:rPr>
        <w:bCs/>
        <w:sz w:val="16"/>
        <w:szCs w:val="16"/>
      </w:rPr>
      <w:t xml:space="preserve">MINUTES </w:t>
    </w:r>
    <w:proofErr w:type="spellStart"/>
    <w:r>
      <w:rPr>
        <w:bCs/>
        <w:sz w:val="16"/>
        <w:szCs w:val="16"/>
      </w:rPr>
      <w:t>No</w:t>
    </w:r>
    <w:proofErr w:type="spellEnd"/>
    <w:r>
      <w:rPr>
        <w:bCs/>
        <w:sz w:val="16"/>
        <w:szCs w:val="16"/>
      </w:rPr>
      <w:t>. 80407/16-2</w:t>
    </w:r>
  </w:p>
  <w:p w14:paraId="3FB7D2C5" w14:textId="77777777" w:rsidR="000B524D" w:rsidRDefault="000B524D" w:rsidP="000B524D">
    <w:pPr>
      <w:pStyle w:val="a0"/>
      <w:widowControl w:val="0"/>
      <w:spacing w:after="0"/>
      <w:jc w:val="center"/>
      <w:outlineLvl w:val="0"/>
      <w:rPr>
        <w:bCs/>
        <w:sz w:val="16"/>
        <w:szCs w:val="16"/>
      </w:rPr>
    </w:pPr>
    <w:proofErr w:type="spellStart"/>
    <w:r w:rsidRPr="000B524D">
      <w:rPr>
        <w:bCs/>
        <w:sz w:val="16"/>
        <w:szCs w:val="16"/>
      </w:rPr>
      <w:t>of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opening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of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envelopes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with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bids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for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the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public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one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stage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request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for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proposals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without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pre-qualification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selection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for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the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right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to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conclude</w:t>
    </w:r>
    <w:proofErr w:type="spellEnd"/>
    <w:r w:rsidRPr="000B524D">
      <w:rPr>
        <w:bCs/>
        <w:sz w:val="16"/>
        <w:szCs w:val="16"/>
      </w:rPr>
      <w:t xml:space="preserve"> a </w:t>
    </w:r>
    <w:proofErr w:type="spellStart"/>
    <w:r w:rsidRPr="000B524D">
      <w:rPr>
        <w:bCs/>
        <w:sz w:val="16"/>
        <w:szCs w:val="16"/>
      </w:rPr>
      <w:t>contract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for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rendering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services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of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informational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support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in</w:t>
    </w:r>
    <w:proofErr w:type="spellEnd"/>
    <w:r w:rsidRPr="000B524D">
      <w:rPr>
        <w:bCs/>
        <w:sz w:val="16"/>
        <w:szCs w:val="16"/>
      </w:rPr>
      <w:t xml:space="preserve"> </w:t>
    </w:r>
    <w:proofErr w:type="spellStart"/>
    <w:r w:rsidRPr="000B524D">
      <w:rPr>
        <w:bCs/>
        <w:sz w:val="16"/>
        <w:szCs w:val="16"/>
      </w:rPr>
      <w:t>Turkey</w:t>
    </w:r>
    <w:proofErr w:type="spellEnd"/>
    <w:r w:rsidRPr="000B524D">
      <w:rPr>
        <w:bCs/>
        <w:sz w:val="16"/>
        <w:szCs w:val="16"/>
      </w:rPr>
      <w:t>.</w:t>
    </w:r>
  </w:p>
  <w:p w14:paraId="0A1D9421" w14:textId="67620CE1" w:rsidR="000721E3" w:rsidRPr="00C20E86" w:rsidRDefault="000721E3" w:rsidP="000B524D">
    <w:pPr>
      <w:pStyle w:val="a0"/>
      <w:widowControl w:val="0"/>
      <w:spacing w:after="0"/>
      <w:jc w:val="center"/>
      <w:outlineLvl w:val="0"/>
      <w:rPr>
        <w:bCs/>
        <w:sz w:val="16"/>
        <w:szCs w:val="16"/>
      </w:rPr>
    </w:pPr>
    <w:r w:rsidRPr="0074795C">
      <w:rPr>
        <w:bCs/>
        <w:sz w:val="16"/>
        <w:szCs w:val="16"/>
      </w:rPr>
      <w:t xml:space="preserve">Страница </w:t>
    </w:r>
    <w:r w:rsidRPr="0074795C">
      <w:rPr>
        <w:bCs/>
        <w:sz w:val="16"/>
        <w:szCs w:val="16"/>
      </w:rPr>
      <w:fldChar w:fldCharType="begin"/>
    </w:r>
    <w:r w:rsidRPr="00C20E86">
      <w:rPr>
        <w:bCs/>
        <w:sz w:val="16"/>
        <w:szCs w:val="16"/>
      </w:rPr>
      <w:instrText>PAGE</w:instrText>
    </w:r>
    <w:r w:rsidRPr="0074795C">
      <w:rPr>
        <w:bCs/>
        <w:sz w:val="16"/>
        <w:szCs w:val="16"/>
      </w:rPr>
      <w:fldChar w:fldCharType="separate"/>
    </w:r>
    <w:r w:rsidR="009360EC">
      <w:rPr>
        <w:bCs/>
        <w:noProof/>
        <w:sz w:val="16"/>
        <w:szCs w:val="16"/>
      </w:rPr>
      <w:t>2</w:t>
    </w:r>
    <w:r w:rsidRPr="0074795C">
      <w:rPr>
        <w:bCs/>
        <w:sz w:val="16"/>
        <w:szCs w:val="16"/>
      </w:rPr>
      <w:fldChar w:fldCharType="end"/>
    </w:r>
    <w:r w:rsidRPr="0074795C">
      <w:rPr>
        <w:bCs/>
        <w:sz w:val="16"/>
        <w:szCs w:val="16"/>
      </w:rPr>
      <w:t xml:space="preserve"> из </w:t>
    </w:r>
    <w:r w:rsidRPr="0074795C">
      <w:rPr>
        <w:bCs/>
        <w:sz w:val="16"/>
        <w:szCs w:val="16"/>
      </w:rPr>
      <w:fldChar w:fldCharType="begin"/>
    </w:r>
    <w:r w:rsidRPr="00C20E86">
      <w:rPr>
        <w:bCs/>
        <w:sz w:val="16"/>
        <w:szCs w:val="16"/>
      </w:rPr>
      <w:instrText>NUMPAGES</w:instrText>
    </w:r>
    <w:r w:rsidRPr="0074795C">
      <w:rPr>
        <w:bCs/>
        <w:sz w:val="16"/>
        <w:szCs w:val="16"/>
      </w:rPr>
      <w:fldChar w:fldCharType="separate"/>
    </w:r>
    <w:r w:rsidR="009360EC">
      <w:rPr>
        <w:bCs/>
        <w:noProof/>
        <w:sz w:val="16"/>
        <w:szCs w:val="16"/>
      </w:rPr>
      <w:t>2</w:t>
    </w:r>
    <w:r w:rsidRPr="0074795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FE91" w14:textId="77777777" w:rsidR="00177097" w:rsidRDefault="00177097">
      <w:pPr>
        <w:spacing w:after="0" w:line="240" w:lineRule="auto"/>
      </w:pPr>
      <w:r>
        <w:separator/>
      </w:r>
    </w:p>
  </w:footnote>
  <w:footnote w:type="continuationSeparator" w:id="0">
    <w:p w14:paraId="0F0F7ED7" w14:textId="77777777" w:rsidR="00177097" w:rsidRDefault="0017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D801C4"/>
    <w:multiLevelType w:val="hybridMultilevel"/>
    <w:tmpl w:val="E00E1B1E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E6274"/>
    <w:multiLevelType w:val="multilevel"/>
    <w:tmpl w:val="CE121C2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0B1005"/>
    <w:multiLevelType w:val="hybridMultilevel"/>
    <w:tmpl w:val="642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9" w15:restartNumberingAfterBreak="0">
    <w:nsid w:val="27482CA6"/>
    <w:multiLevelType w:val="hybridMultilevel"/>
    <w:tmpl w:val="CC64B9EA"/>
    <w:lvl w:ilvl="0" w:tplc="04190017">
      <w:start w:val="1"/>
      <w:numFmt w:val="lowerLett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0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536F"/>
    <w:multiLevelType w:val="multilevel"/>
    <w:tmpl w:val="11C655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F9F51A0"/>
    <w:multiLevelType w:val="hybridMultilevel"/>
    <w:tmpl w:val="576C482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D0437"/>
    <w:multiLevelType w:val="hybridMultilevel"/>
    <w:tmpl w:val="D3760DA2"/>
    <w:lvl w:ilvl="0" w:tplc="6A0CDC7E">
      <w:start w:val="1"/>
      <w:numFmt w:val="decimal"/>
      <w:lvlText w:val="%1)"/>
      <w:lvlJc w:val="left"/>
      <w:pPr>
        <w:ind w:left="291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D988C96">
      <w:start w:val="1"/>
      <w:numFmt w:val="lowerLetter"/>
      <w:lvlText w:val="%2."/>
      <w:lvlJc w:val="left"/>
      <w:pPr>
        <w:ind w:left="1789" w:hanging="360"/>
      </w:pPr>
    </w:lvl>
    <w:lvl w:ilvl="2" w:tplc="DF38EF0E">
      <w:start w:val="1"/>
      <w:numFmt w:val="lowerRoman"/>
      <w:lvlText w:val="%3."/>
      <w:lvlJc w:val="right"/>
      <w:pPr>
        <w:ind w:left="2509" w:hanging="180"/>
      </w:pPr>
    </w:lvl>
    <w:lvl w:ilvl="3" w:tplc="70DC0BC4">
      <w:start w:val="1"/>
      <w:numFmt w:val="decimal"/>
      <w:lvlText w:val="%4."/>
      <w:lvlJc w:val="left"/>
      <w:pPr>
        <w:ind w:left="3229" w:hanging="360"/>
      </w:pPr>
    </w:lvl>
    <w:lvl w:ilvl="4" w:tplc="D28A7BBC">
      <w:start w:val="1"/>
      <w:numFmt w:val="lowerLetter"/>
      <w:lvlText w:val="%5."/>
      <w:lvlJc w:val="left"/>
      <w:pPr>
        <w:ind w:left="3949" w:hanging="360"/>
      </w:pPr>
    </w:lvl>
    <w:lvl w:ilvl="5" w:tplc="484E484A">
      <w:start w:val="1"/>
      <w:numFmt w:val="lowerRoman"/>
      <w:lvlText w:val="%6."/>
      <w:lvlJc w:val="right"/>
      <w:pPr>
        <w:ind w:left="4669" w:hanging="180"/>
      </w:pPr>
    </w:lvl>
    <w:lvl w:ilvl="6" w:tplc="B95C8752">
      <w:start w:val="1"/>
      <w:numFmt w:val="decimal"/>
      <w:lvlText w:val="%7."/>
      <w:lvlJc w:val="left"/>
      <w:pPr>
        <w:ind w:left="5389" w:hanging="360"/>
      </w:pPr>
    </w:lvl>
    <w:lvl w:ilvl="7" w:tplc="FB360208">
      <w:start w:val="1"/>
      <w:numFmt w:val="lowerLetter"/>
      <w:lvlText w:val="%8."/>
      <w:lvlJc w:val="left"/>
      <w:pPr>
        <w:ind w:left="6109" w:hanging="360"/>
      </w:pPr>
    </w:lvl>
    <w:lvl w:ilvl="8" w:tplc="3E2EF68E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21" w15:restartNumberingAfterBreak="0">
    <w:nsid w:val="594859AF"/>
    <w:multiLevelType w:val="hybridMultilevel"/>
    <w:tmpl w:val="9F982F9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B512F"/>
    <w:multiLevelType w:val="multilevel"/>
    <w:tmpl w:val="AE06B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2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4"/>
  </w:num>
  <w:num w:numId="14">
    <w:abstractNumId w:val="23"/>
  </w:num>
  <w:num w:numId="15">
    <w:abstractNumId w:val="2"/>
  </w:num>
  <w:num w:numId="16">
    <w:abstractNumId w:val="10"/>
  </w:num>
  <w:num w:numId="17">
    <w:abstractNumId w:val="15"/>
  </w:num>
  <w:num w:numId="18">
    <w:abstractNumId w:val="1"/>
  </w:num>
  <w:num w:numId="19">
    <w:abstractNumId w:val="16"/>
  </w:num>
  <w:num w:numId="20">
    <w:abstractNumId w:val="22"/>
  </w:num>
  <w:num w:numId="21">
    <w:abstractNumId w:val="9"/>
  </w:num>
  <w:num w:numId="22">
    <w:abstractNumId w:val="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14"/>
    <w:rsid w:val="0000380D"/>
    <w:rsid w:val="00037701"/>
    <w:rsid w:val="000545C5"/>
    <w:rsid w:val="00067425"/>
    <w:rsid w:val="000721E3"/>
    <w:rsid w:val="0008777E"/>
    <w:rsid w:val="00090400"/>
    <w:rsid w:val="000A3C29"/>
    <w:rsid w:val="000A72F0"/>
    <w:rsid w:val="000B524D"/>
    <w:rsid w:val="000C7DA0"/>
    <w:rsid w:val="000D7CE0"/>
    <w:rsid w:val="000E4289"/>
    <w:rsid w:val="000E7F7C"/>
    <w:rsid w:val="001512DA"/>
    <w:rsid w:val="00166A53"/>
    <w:rsid w:val="001756D0"/>
    <w:rsid w:val="00176D90"/>
    <w:rsid w:val="00177097"/>
    <w:rsid w:val="0018457C"/>
    <w:rsid w:val="00192EC5"/>
    <w:rsid w:val="001A5F73"/>
    <w:rsid w:val="001B53B3"/>
    <w:rsid w:val="001C2F5C"/>
    <w:rsid w:val="00201194"/>
    <w:rsid w:val="00210699"/>
    <w:rsid w:val="0021118B"/>
    <w:rsid w:val="00216CAD"/>
    <w:rsid w:val="00237C06"/>
    <w:rsid w:val="00266199"/>
    <w:rsid w:val="00280C06"/>
    <w:rsid w:val="00291785"/>
    <w:rsid w:val="00294B4B"/>
    <w:rsid w:val="00332C67"/>
    <w:rsid w:val="00334B13"/>
    <w:rsid w:val="00366362"/>
    <w:rsid w:val="00367F87"/>
    <w:rsid w:val="00373A75"/>
    <w:rsid w:val="00381885"/>
    <w:rsid w:val="003A35F0"/>
    <w:rsid w:val="003D43A7"/>
    <w:rsid w:val="003E50A6"/>
    <w:rsid w:val="003E6E42"/>
    <w:rsid w:val="003F63F2"/>
    <w:rsid w:val="004139BA"/>
    <w:rsid w:val="004141E4"/>
    <w:rsid w:val="004331E4"/>
    <w:rsid w:val="00435FCF"/>
    <w:rsid w:val="00437233"/>
    <w:rsid w:val="0046587A"/>
    <w:rsid w:val="00472B1D"/>
    <w:rsid w:val="00481250"/>
    <w:rsid w:val="00486313"/>
    <w:rsid w:val="004946FD"/>
    <w:rsid w:val="004A38AF"/>
    <w:rsid w:val="004B3CD3"/>
    <w:rsid w:val="004C0845"/>
    <w:rsid w:val="004C6C56"/>
    <w:rsid w:val="00542798"/>
    <w:rsid w:val="00556F54"/>
    <w:rsid w:val="00562AD2"/>
    <w:rsid w:val="00566B15"/>
    <w:rsid w:val="00571131"/>
    <w:rsid w:val="00596785"/>
    <w:rsid w:val="005D619D"/>
    <w:rsid w:val="005E59EF"/>
    <w:rsid w:val="005E7D5D"/>
    <w:rsid w:val="00603EB5"/>
    <w:rsid w:val="00607831"/>
    <w:rsid w:val="00623241"/>
    <w:rsid w:val="00666035"/>
    <w:rsid w:val="00666621"/>
    <w:rsid w:val="00670E58"/>
    <w:rsid w:val="0068349E"/>
    <w:rsid w:val="00684DB6"/>
    <w:rsid w:val="006C15EA"/>
    <w:rsid w:val="006C6E4F"/>
    <w:rsid w:val="006E73C4"/>
    <w:rsid w:val="006F04CF"/>
    <w:rsid w:val="00700F53"/>
    <w:rsid w:val="00710476"/>
    <w:rsid w:val="00736724"/>
    <w:rsid w:val="00747737"/>
    <w:rsid w:val="0074795C"/>
    <w:rsid w:val="00750FFD"/>
    <w:rsid w:val="00755A59"/>
    <w:rsid w:val="00765053"/>
    <w:rsid w:val="007661A0"/>
    <w:rsid w:val="007C4781"/>
    <w:rsid w:val="007C756F"/>
    <w:rsid w:val="007E341E"/>
    <w:rsid w:val="007F76E8"/>
    <w:rsid w:val="00890719"/>
    <w:rsid w:val="008B09FA"/>
    <w:rsid w:val="008C175B"/>
    <w:rsid w:val="008D0AE4"/>
    <w:rsid w:val="008D3D15"/>
    <w:rsid w:val="008D40A6"/>
    <w:rsid w:val="008D5EF2"/>
    <w:rsid w:val="0093330E"/>
    <w:rsid w:val="009360EC"/>
    <w:rsid w:val="009450A3"/>
    <w:rsid w:val="009456DE"/>
    <w:rsid w:val="00953BC4"/>
    <w:rsid w:val="00962A0F"/>
    <w:rsid w:val="00970422"/>
    <w:rsid w:val="00992C79"/>
    <w:rsid w:val="00995F9B"/>
    <w:rsid w:val="009A305E"/>
    <w:rsid w:val="009B78CD"/>
    <w:rsid w:val="009C2452"/>
    <w:rsid w:val="009F231D"/>
    <w:rsid w:val="00A0781A"/>
    <w:rsid w:val="00A37E7C"/>
    <w:rsid w:val="00A42F5D"/>
    <w:rsid w:val="00A54385"/>
    <w:rsid w:val="00A6076A"/>
    <w:rsid w:val="00A611CD"/>
    <w:rsid w:val="00A64F8A"/>
    <w:rsid w:val="00A84717"/>
    <w:rsid w:val="00AD10C8"/>
    <w:rsid w:val="00AE439B"/>
    <w:rsid w:val="00AF08F2"/>
    <w:rsid w:val="00AF20B3"/>
    <w:rsid w:val="00B13DAE"/>
    <w:rsid w:val="00B444CD"/>
    <w:rsid w:val="00B52814"/>
    <w:rsid w:val="00B9681D"/>
    <w:rsid w:val="00BA4D69"/>
    <w:rsid w:val="00BB4454"/>
    <w:rsid w:val="00BD7737"/>
    <w:rsid w:val="00BF6A9C"/>
    <w:rsid w:val="00C20E86"/>
    <w:rsid w:val="00C66C66"/>
    <w:rsid w:val="00C8353D"/>
    <w:rsid w:val="00CA0AC8"/>
    <w:rsid w:val="00CC4DFE"/>
    <w:rsid w:val="00D01B67"/>
    <w:rsid w:val="00D14B89"/>
    <w:rsid w:val="00D32F4A"/>
    <w:rsid w:val="00D433A5"/>
    <w:rsid w:val="00D60435"/>
    <w:rsid w:val="00D641F4"/>
    <w:rsid w:val="00D831BA"/>
    <w:rsid w:val="00D86338"/>
    <w:rsid w:val="00DA69D3"/>
    <w:rsid w:val="00DB0D1E"/>
    <w:rsid w:val="00DD2878"/>
    <w:rsid w:val="00DD2CD7"/>
    <w:rsid w:val="00DE2797"/>
    <w:rsid w:val="00DF570F"/>
    <w:rsid w:val="00E00795"/>
    <w:rsid w:val="00E11A2B"/>
    <w:rsid w:val="00E24A5A"/>
    <w:rsid w:val="00E443F6"/>
    <w:rsid w:val="00E5354B"/>
    <w:rsid w:val="00E738F5"/>
    <w:rsid w:val="00EB19F2"/>
    <w:rsid w:val="00EC2786"/>
    <w:rsid w:val="00EC3130"/>
    <w:rsid w:val="00EE708D"/>
    <w:rsid w:val="00EF6001"/>
    <w:rsid w:val="00F05A3A"/>
    <w:rsid w:val="00F07AEF"/>
    <w:rsid w:val="00F361E8"/>
    <w:rsid w:val="00F4415A"/>
    <w:rsid w:val="00F854FF"/>
    <w:rsid w:val="00F86DEB"/>
    <w:rsid w:val="00F916DB"/>
    <w:rsid w:val="00F95DDF"/>
    <w:rsid w:val="00FB6F6D"/>
    <w:rsid w:val="00FD052D"/>
    <w:rsid w:val="00FD7345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87D0"/>
  <w15:docId w15:val="{9D211F21-F008-4E2D-8ECE-A1BD356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0"/>
    <w:qFormat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uiPriority w:val="99"/>
    <w:qFormat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1"/>
    <w:qFormat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1"/>
    <w:link w:val="3"/>
    <w:uiPriority w:val="99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1">
    <w:name w:val="Заголовок 4 Знак"/>
    <w:basedOn w:val="a1"/>
    <w:link w:val="4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1">
    <w:name w:val="Нет списка1"/>
    <w:next w:val="a3"/>
    <w:uiPriority w:val="99"/>
    <w:semiHidden/>
    <w:unhideWhenUsed/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a">
    <w:name w:val="annotation reference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0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link w:val="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a"/>
    <w:next w:val="a0"/>
    <w:uiPriority w:val="5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a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a0"/>
    <w:qFormat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pPr>
      <w:numPr>
        <w:numId w:val="4"/>
      </w:numPr>
    </w:pPr>
  </w:style>
  <w:style w:type="character" w:styleId="af1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laceholder Text"/>
    <w:uiPriority w:val="99"/>
    <w:semiHidden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Pr>
      <w:rFonts w:cs="Times New Roman"/>
      <w:vertAlign w:val="superscript"/>
    </w:rPr>
  </w:style>
  <w:style w:type="table" w:styleId="af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_3,Подпись рисунка,ПКФ Список,Абзац списка5"/>
    <w:basedOn w:val="a"/>
    <w:link w:val="af8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Заголовок_3 Знак,Подпись рисунка Знак,ПКФ Список Знак,Абзац списка5 Знак"/>
    <w:link w:val="af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Пункт_4 Знак"/>
    <w:link w:val="40"/>
    <w:uiPriority w:val="99"/>
    <w:locked/>
    <w:rPr>
      <w:rFonts w:ascii="Calibri" w:hAnsi="Calibri"/>
      <w:sz w:val="28"/>
      <w:szCs w:val="28"/>
    </w:rPr>
  </w:style>
  <w:style w:type="paragraph" w:customStyle="1" w:styleId="40">
    <w:name w:val="Пункт_4"/>
    <w:basedOn w:val="a"/>
    <w:link w:val="42"/>
    <w:uiPriority w:val="99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</w:style>
  <w:style w:type="character" w:styleId="af9">
    <w:name w:val="FollowedHyperlink"/>
    <w:uiPriority w:val="99"/>
    <w:semiHidden/>
    <w:unhideWhenUsed/>
    <w:rPr>
      <w:color w:val="800080"/>
      <w:u w:val="single"/>
    </w:rPr>
  </w:style>
  <w:style w:type="paragraph" w:customStyle="1" w:styleId="310">
    <w:name w:val="Основной текст 31"/>
    <w:basedOn w:val="a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5">
    <w:name w:val="Сетка таблицы3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43">
    <w:name w:val="Сетка таблицы4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Стиль3"/>
    <w:basedOn w:val="25"/>
    <w:rsid w:val="0089071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9071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90719"/>
  </w:style>
  <w:style w:type="table" w:customStyle="1" w:styleId="51">
    <w:name w:val="Сетка таблицы5"/>
    <w:basedOn w:val="a2"/>
    <w:next w:val="af6"/>
    <w:uiPriority w:val="59"/>
    <w:rsid w:val="0033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User</cp:lastModifiedBy>
  <cp:revision>11</cp:revision>
  <cp:lastPrinted>2020-07-21T11:32:00Z</cp:lastPrinted>
  <dcterms:created xsi:type="dcterms:W3CDTF">2021-07-07T09:23:00Z</dcterms:created>
  <dcterms:modified xsi:type="dcterms:W3CDTF">2021-07-08T08:25:00Z</dcterms:modified>
</cp:coreProperties>
</file>